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4"/>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一、大厂回族自治县交通运输局收支预算</w:t>
      </w:r>
      <w:r>
        <w:tab/>
      </w:r>
      <w:r>
        <w:fldChar w:fldCharType="begin"/>
      </w:r>
      <w:r>
        <w:instrText xml:space="preserve">PAGEREF _Toc_4_4_0000000001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"_Toc_4_4_0000000002" </w:instrText>
      </w:r>
      <w:r>
        <w:fldChar w:fldCharType="separate"/>
      </w:r>
      <w:r>
        <w:fldChar w:fldCharType="end"/>
      </w:r>
    </w:p>
    <w:p>
      <w:pPr>
        <w:pStyle w:val="4"/>
        <w:tabs>
          <w:tab w:val="right" w:leader="dot" w:pos="14562"/>
        </w:tabs>
      </w:pP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一、大厂回族自治县交通运输局收支预算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348001大厂回族自治县交通运输局</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6343.36</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r>
              <w:t>6343.36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6343.36</w:t>
            </w:r>
          </w:p>
        </w:tc>
        <w:tc>
          <w:tcPr>
            <w:tcW w:w="4535" w:type="dxa"/>
            <w:vAlign w:val="center"/>
          </w:tcPr>
          <w:p>
            <w:pPr>
              <w:pStyle w:val="16"/>
            </w:pPr>
            <w:r>
              <w:t>本年支出合计</w:t>
            </w:r>
          </w:p>
        </w:tc>
        <w:tc>
          <w:tcPr>
            <w:tcW w:w="2126" w:type="dxa"/>
            <w:vAlign w:val="center"/>
          </w:tcPr>
          <w:p>
            <w:pPr>
              <w:pStyle w:val="17"/>
            </w:pPr>
            <w:r>
              <w:t>6343.36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6343.36</w:t>
            </w:r>
          </w:p>
        </w:tc>
        <w:tc>
          <w:tcPr>
            <w:tcW w:w="4535" w:type="dxa"/>
            <w:vAlign w:val="center"/>
          </w:tcPr>
          <w:p>
            <w:pPr>
              <w:pStyle w:val="16"/>
            </w:pPr>
            <w:r>
              <w:t>支出总计</w:t>
            </w:r>
          </w:p>
        </w:tc>
        <w:tc>
          <w:tcPr>
            <w:tcW w:w="2126" w:type="dxa"/>
            <w:vAlign w:val="center"/>
          </w:tcPr>
          <w:p>
            <w:pPr>
              <w:pStyle w:val="17"/>
            </w:pPr>
            <w:r>
              <w:t>6343.36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348001大厂回族自治县交通运输局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6343.36</w:t>
            </w:r>
          </w:p>
        </w:tc>
        <w:tc>
          <w:tcPr>
            <w:tcW w:w="1134" w:type="dxa"/>
            <w:vAlign w:val="center"/>
          </w:tcPr>
          <w:p>
            <w:pPr>
              <w:pStyle w:val="17"/>
            </w:pPr>
            <w:r>
              <w:t>6343.36</w:t>
            </w:r>
          </w:p>
        </w:tc>
        <w:tc>
          <w:tcPr>
            <w:tcW w:w="1134" w:type="dxa"/>
            <w:vAlign w:val="center"/>
          </w:tcPr>
          <w:p>
            <w:pPr>
              <w:pStyle w:val="17"/>
            </w:pPr>
            <w:r>
              <w:t>6343.36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214</w:t>
            </w:r>
          </w:p>
        </w:tc>
        <w:tc>
          <w:tcPr>
            <w:tcW w:w="1559" w:type="dxa"/>
            <w:vAlign w:val="center"/>
          </w:tcPr>
          <w:p>
            <w:pPr>
              <w:pStyle w:val="14"/>
            </w:pPr>
            <w:r>
              <w:t>交通运输支出</w:t>
            </w:r>
          </w:p>
        </w:tc>
        <w:tc>
          <w:tcPr>
            <w:tcW w:w="1134" w:type="dxa"/>
            <w:vAlign w:val="center"/>
          </w:tcPr>
          <w:p>
            <w:pPr>
              <w:pStyle w:val="13"/>
            </w:pPr>
            <w:r>
              <w:t>6343.36</w:t>
            </w:r>
          </w:p>
        </w:tc>
        <w:tc>
          <w:tcPr>
            <w:tcW w:w="1134" w:type="dxa"/>
            <w:vAlign w:val="center"/>
          </w:tcPr>
          <w:p>
            <w:pPr>
              <w:pStyle w:val="13"/>
            </w:pPr>
            <w:r>
              <w:t>6343.36</w:t>
            </w:r>
          </w:p>
        </w:tc>
        <w:tc>
          <w:tcPr>
            <w:tcW w:w="1134" w:type="dxa"/>
            <w:vAlign w:val="center"/>
          </w:tcPr>
          <w:p>
            <w:pPr>
              <w:pStyle w:val="13"/>
            </w:pPr>
            <w:r>
              <w:t>6343.36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21401</w:t>
            </w:r>
          </w:p>
        </w:tc>
        <w:tc>
          <w:tcPr>
            <w:tcW w:w="1559" w:type="dxa"/>
            <w:vAlign w:val="center"/>
          </w:tcPr>
          <w:p>
            <w:pPr>
              <w:pStyle w:val="14"/>
            </w:pPr>
            <w:r>
              <w:t>公路水路运输</w:t>
            </w:r>
          </w:p>
        </w:tc>
        <w:tc>
          <w:tcPr>
            <w:tcW w:w="1134" w:type="dxa"/>
            <w:vAlign w:val="center"/>
          </w:tcPr>
          <w:p>
            <w:pPr>
              <w:pStyle w:val="13"/>
            </w:pPr>
            <w:r>
              <w:t>6061.87</w:t>
            </w:r>
          </w:p>
        </w:tc>
        <w:tc>
          <w:tcPr>
            <w:tcW w:w="1134" w:type="dxa"/>
            <w:vAlign w:val="center"/>
          </w:tcPr>
          <w:p>
            <w:pPr>
              <w:pStyle w:val="13"/>
            </w:pPr>
            <w:r>
              <w:t>6061.87</w:t>
            </w:r>
          </w:p>
        </w:tc>
        <w:tc>
          <w:tcPr>
            <w:tcW w:w="1134" w:type="dxa"/>
            <w:vAlign w:val="center"/>
          </w:tcPr>
          <w:p>
            <w:pPr>
              <w:pStyle w:val="13"/>
            </w:pPr>
            <w:r>
              <w:t>6061.87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2140101</w:t>
            </w:r>
          </w:p>
        </w:tc>
        <w:tc>
          <w:tcPr>
            <w:tcW w:w="1559" w:type="dxa"/>
            <w:vAlign w:val="center"/>
          </w:tcPr>
          <w:p>
            <w:pPr>
              <w:pStyle w:val="14"/>
            </w:pPr>
            <w:r>
              <w:t>行政运行</w:t>
            </w:r>
          </w:p>
        </w:tc>
        <w:tc>
          <w:tcPr>
            <w:tcW w:w="1134" w:type="dxa"/>
            <w:vAlign w:val="center"/>
          </w:tcPr>
          <w:p>
            <w:pPr>
              <w:pStyle w:val="13"/>
            </w:pPr>
            <w:r>
              <w:t>3485.02</w:t>
            </w:r>
          </w:p>
        </w:tc>
        <w:tc>
          <w:tcPr>
            <w:tcW w:w="1134" w:type="dxa"/>
            <w:vAlign w:val="center"/>
          </w:tcPr>
          <w:p>
            <w:pPr>
              <w:pStyle w:val="13"/>
            </w:pPr>
            <w:r>
              <w:t>3485.02</w:t>
            </w:r>
          </w:p>
        </w:tc>
        <w:tc>
          <w:tcPr>
            <w:tcW w:w="1134" w:type="dxa"/>
            <w:vAlign w:val="center"/>
          </w:tcPr>
          <w:p>
            <w:pPr>
              <w:pStyle w:val="13"/>
            </w:pPr>
            <w:r>
              <w:t>3485.02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2140102</w:t>
            </w:r>
          </w:p>
        </w:tc>
        <w:tc>
          <w:tcPr>
            <w:tcW w:w="1559" w:type="dxa"/>
            <w:vAlign w:val="center"/>
          </w:tcPr>
          <w:p>
            <w:pPr>
              <w:pStyle w:val="14"/>
            </w:pPr>
            <w:r>
              <w:t>一般行政管理事务</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2140104</w:t>
            </w:r>
          </w:p>
        </w:tc>
        <w:tc>
          <w:tcPr>
            <w:tcW w:w="1559" w:type="dxa"/>
            <w:vAlign w:val="center"/>
          </w:tcPr>
          <w:p>
            <w:pPr>
              <w:pStyle w:val="14"/>
            </w:pPr>
            <w:r>
              <w:t>公路建设</w:t>
            </w:r>
          </w:p>
        </w:tc>
        <w:tc>
          <w:tcPr>
            <w:tcW w:w="1134" w:type="dxa"/>
            <w:vAlign w:val="center"/>
          </w:tcPr>
          <w:p>
            <w:pPr>
              <w:pStyle w:val="13"/>
            </w:pPr>
            <w:r>
              <w:t>457.00</w:t>
            </w:r>
          </w:p>
        </w:tc>
        <w:tc>
          <w:tcPr>
            <w:tcW w:w="1134" w:type="dxa"/>
            <w:vAlign w:val="center"/>
          </w:tcPr>
          <w:p>
            <w:pPr>
              <w:pStyle w:val="13"/>
            </w:pPr>
            <w:r>
              <w:t>457.00</w:t>
            </w:r>
          </w:p>
        </w:tc>
        <w:tc>
          <w:tcPr>
            <w:tcW w:w="1134" w:type="dxa"/>
            <w:vAlign w:val="center"/>
          </w:tcPr>
          <w:p>
            <w:pPr>
              <w:pStyle w:val="13"/>
            </w:pPr>
            <w:r>
              <w:t>457.00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2140106</w:t>
            </w:r>
          </w:p>
        </w:tc>
        <w:tc>
          <w:tcPr>
            <w:tcW w:w="1559" w:type="dxa"/>
            <w:vAlign w:val="center"/>
          </w:tcPr>
          <w:p>
            <w:pPr>
              <w:pStyle w:val="14"/>
            </w:pPr>
            <w:r>
              <w:t>公路养护</w:t>
            </w:r>
          </w:p>
        </w:tc>
        <w:tc>
          <w:tcPr>
            <w:tcW w:w="1134" w:type="dxa"/>
            <w:vAlign w:val="center"/>
          </w:tcPr>
          <w:p>
            <w:pPr>
              <w:pStyle w:val="13"/>
            </w:pPr>
            <w:r>
              <w:t>1038.85</w:t>
            </w:r>
          </w:p>
        </w:tc>
        <w:tc>
          <w:tcPr>
            <w:tcW w:w="1134" w:type="dxa"/>
            <w:vAlign w:val="center"/>
          </w:tcPr>
          <w:p>
            <w:pPr>
              <w:pStyle w:val="13"/>
            </w:pPr>
            <w:r>
              <w:t>1038.85</w:t>
            </w:r>
          </w:p>
        </w:tc>
        <w:tc>
          <w:tcPr>
            <w:tcW w:w="1134" w:type="dxa"/>
            <w:vAlign w:val="center"/>
          </w:tcPr>
          <w:p>
            <w:pPr>
              <w:pStyle w:val="13"/>
            </w:pPr>
            <w:r>
              <w:t>1038.85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2140112</w:t>
            </w:r>
          </w:p>
        </w:tc>
        <w:tc>
          <w:tcPr>
            <w:tcW w:w="1559" w:type="dxa"/>
            <w:vAlign w:val="center"/>
          </w:tcPr>
          <w:p>
            <w:pPr>
              <w:pStyle w:val="14"/>
            </w:pPr>
            <w:r>
              <w:t>公路运输管理</w:t>
            </w:r>
          </w:p>
        </w:tc>
        <w:tc>
          <w:tcPr>
            <w:tcW w:w="1134" w:type="dxa"/>
            <w:vAlign w:val="center"/>
          </w:tcPr>
          <w:p>
            <w:pPr>
              <w:pStyle w:val="13"/>
            </w:pPr>
            <w:r>
              <w:t>1066.00</w:t>
            </w:r>
          </w:p>
        </w:tc>
        <w:tc>
          <w:tcPr>
            <w:tcW w:w="1134" w:type="dxa"/>
            <w:vAlign w:val="center"/>
          </w:tcPr>
          <w:p>
            <w:pPr>
              <w:pStyle w:val="13"/>
            </w:pPr>
            <w:r>
              <w:t>1066.00</w:t>
            </w:r>
          </w:p>
        </w:tc>
        <w:tc>
          <w:tcPr>
            <w:tcW w:w="1134" w:type="dxa"/>
            <w:vAlign w:val="center"/>
          </w:tcPr>
          <w:p>
            <w:pPr>
              <w:pStyle w:val="13"/>
            </w:pPr>
            <w:r>
              <w:t>1066.00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21499</w:t>
            </w:r>
          </w:p>
        </w:tc>
        <w:tc>
          <w:tcPr>
            <w:tcW w:w="1559" w:type="dxa"/>
            <w:vAlign w:val="center"/>
          </w:tcPr>
          <w:p>
            <w:pPr>
              <w:pStyle w:val="14"/>
            </w:pPr>
            <w:r>
              <w:t>其他交通运输支出</w:t>
            </w:r>
          </w:p>
        </w:tc>
        <w:tc>
          <w:tcPr>
            <w:tcW w:w="1134" w:type="dxa"/>
            <w:vAlign w:val="center"/>
          </w:tcPr>
          <w:p>
            <w:pPr>
              <w:pStyle w:val="13"/>
            </w:pPr>
            <w:r>
              <w:t>281.49</w:t>
            </w:r>
          </w:p>
        </w:tc>
        <w:tc>
          <w:tcPr>
            <w:tcW w:w="1134" w:type="dxa"/>
            <w:vAlign w:val="center"/>
          </w:tcPr>
          <w:p>
            <w:pPr>
              <w:pStyle w:val="13"/>
            </w:pPr>
            <w:r>
              <w:t>281.49</w:t>
            </w:r>
          </w:p>
        </w:tc>
        <w:tc>
          <w:tcPr>
            <w:tcW w:w="1134" w:type="dxa"/>
            <w:vAlign w:val="center"/>
          </w:tcPr>
          <w:p>
            <w:pPr>
              <w:pStyle w:val="13"/>
            </w:pPr>
            <w:r>
              <w:t>281.49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2149901</w:t>
            </w:r>
          </w:p>
        </w:tc>
        <w:tc>
          <w:tcPr>
            <w:tcW w:w="1559" w:type="dxa"/>
            <w:vAlign w:val="center"/>
          </w:tcPr>
          <w:p>
            <w:pPr>
              <w:pStyle w:val="14"/>
            </w:pPr>
            <w:r>
              <w:t>公共交通运营补助</w:t>
            </w:r>
          </w:p>
        </w:tc>
        <w:tc>
          <w:tcPr>
            <w:tcW w:w="1134" w:type="dxa"/>
            <w:vAlign w:val="center"/>
          </w:tcPr>
          <w:p>
            <w:pPr>
              <w:pStyle w:val="13"/>
            </w:pPr>
            <w:r>
              <w:t>281.49</w:t>
            </w:r>
          </w:p>
        </w:tc>
        <w:tc>
          <w:tcPr>
            <w:tcW w:w="1134" w:type="dxa"/>
            <w:vAlign w:val="center"/>
          </w:tcPr>
          <w:p>
            <w:pPr>
              <w:pStyle w:val="13"/>
            </w:pPr>
            <w:r>
              <w:t>281.49</w:t>
            </w:r>
          </w:p>
        </w:tc>
        <w:tc>
          <w:tcPr>
            <w:tcW w:w="1134" w:type="dxa"/>
            <w:vAlign w:val="center"/>
          </w:tcPr>
          <w:p>
            <w:pPr>
              <w:pStyle w:val="13"/>
            </w:pPr>
            <w:r>
              <w:t>281.49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348001大厂回族自治县交通运输局</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6343.36</w:t>
            </w:r>
          </w:p>
        </w:tc>
        <w:tc>
          <w:tcPr>
            <w:tcW w:w="1361" w:type="dxa"/>
            <w:vAlign w:val="center"/>
          </w:tcPr>
          <w:p>
            <w:pPr>
              <w:pStyle w:val="17"/>
            </w:pPr>
            <w:r>
              <w:t>3485.02</w:t>
            </w:r>
          </w:p>
        </w:tc>
        <w:tc>
          <w:tcPr>
            <w:tcW w:w="1361" w:type="dxa"/>
            <w:vAlign w:val="center"/>
          </w:tcPr>
          <w:p>
            <w:pPr>
              <w:pStyle w:val="17"/>
            </w:pPr>
            <w:r>
              <w:t>2858.34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214</w:t>
            </w:r>
          </w:p>
        </w:tc>
        <w:tc>
          <w:tcPr>
            <w:tcW w:w="4535" w:type="dxa"/>
            <w:vAlign w:val="center"/>
          </w:tcPr>
          <w:p>
            <w:pPr>
              <w:pStyle w:val="14"/>
            </w:pPr>
            <w:r>
              <w:t>交通运输支出</w:t>
            </w:r>
          </w:p>
        </w:tc>
        <w:tc>
          <w:tcPr>
            <w:tcW w:w="1361" w:type="dxa"/>
            <w:vAlign w:val="center"/>
          </w:tcPr>
          <w:p>
            <w:pPr>
              <w:pStyle w:val="13"/>
            </w:pPr>
            <w:r>
              <w:t>6343.36</w:t>
            </w:r>
          </w:p>
        </w:tc>
        <w:tc>
          <w:tcPr>
            <w:tcW w:w="1361" w:type="dxa"/>
            <w:vAlign w:val="center"/>
          </w:tcPr>
          <w:p>
            <w:pPr>
              <w:pStyle w:val="13"/>
            </w:pPr>
            <w:r>
              <w:t>3485.02</w:t>
            </w:r>
          </w:p>
        </w:tc>
        <w:tc>
          <w:tcPr>
            <w:tcW w:w="1361" w:type="dxa"/>
            <w:vAlign w:val="center"/>
          </w:tcPr>
          <w:p>
            <w:pPr>
              <w:pStyle w:val="13"/>
            </w:pPr>
            <w:r>
              <w:t>2858.34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21401</w:t>
            </w:r>
          </w:p>
        </w:tc>
        <w:tc>
          <w:tcPr>
            <w:tcW w:w="4535" w:type="dxa"/>
            <w:vAlign w:val="center"/>
          </w:tcPr>
          <w:p>
            <w:pPr>
              <w:pStyle w:val="14"/>
            </w:pPr>
            <w:r>
              <w:t>公路水路运输</w:t>
            </w:r>
          </w:p>
        </w:tc>
        <w:tc>
          <w:tcPr>
            <w:tcW w:w="1361" w:type="dxa"/>
            <w:vAlign w:val="center"/>
          </w:tcPr>
          <w:p>
            <w:pPr>
              <w:pStyle w:val="13"/>
            </w:pPr>
            <w:r>
              <w:t>6061.87</w:t>
            </w:r>
          </w:p>
        </w:tc>
        <w:tc>
          <w:tcPr>
            <w:tcW w:w="1361" w:type="dxa"/>
            <w:vAlign w:val="center"/>
          </w:tcPr>
          <w:p>
            <w:pPr>
              <w:pStyle w:val="13"/>
            </w:pPr>
            <w:r>
              <w:t>3485.02</w:t>
            </w:r>
          </w:p>
        </w:tc>
        <w:tc>
          <w:tcPr>
            <w:tcW w:w="1361" w:type="dxa"/>
            <w:vAlign w:val="center"/>
          </w:tcPr>
          <w:p>
            <w:pPr>
              <w:pStyle w:val="13"/>
            </w:pPr>
            <w:r>
              <w:t>2576.85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2140101</w:t>
            </w:r>
          </w:p>
        </w:tc>
        <w:tc>
          <w:tcPr>
            <w:tcW w:w="4535" w:type="dxa"/>
            <w:vAlign w:val="center"/>
          </w:tcPr>
          <w:p>
            <w:pPr>
              <w:pStyle w:val="14"/>
            </w:pPr>
            <w:r>
              <w:t>行政运行</w:t>
            </w:r>
          </w:p>
        </w:tc>
        <w:tc>
          <w:tcPr>
            <w:tcW w:w="1361" w:type="dxa"/>
            <w:vAlign w:val="center"/>
          </w:tcPr>
          <w:p>
            <w:pPr>
              <w:pStyle w:val="13"/>
            </w:pPr>
            <w:r>
              <w:t>3485.02</w:t>
            </w:r>
          </w:p>
        </w:tc>
        <w:tc>
          <w:tcPr>
            <w:tcW w:w="1361" w:type="dxa"/>
            <w:vAlign w:val="center"/>
          </w:tcPr>
          <w:p>
            <w:pPr>
              <w:pStyle w:val="13"/>
            </w:pPr>
            <w:r>
              <w:t>3485.02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2140102</w:t>
            </w:r>
          </w:p>
        </w:tc>
        <w:tc>
          <w:tcPr>
            <w:tcW w:w="4535" w:type="dxa"/>
            <w:vAlign w:val="center"/>
          </w:tcPr>
          <w:p>
            <w:pPr>
              <w:pStyle w:val="14"/>
            </w:pPr>
            <w:r>
              <w:t>一般行政管理事务</w:t>
            </w: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2140104</w:t>
            </w:r>
          </w:p>
        </w:tc>
        <w:tc>
          <w:tcPr>
            <w:tcW w:w="4535" w:type="dxa"/>
            <w:vAlign w:val="center"/>
          </w:tcPr>
          <w:p>
            <w:pPr>
              <w:pStyle w:val="14"/>
            </w:pPr>
            <w:r>
              <w:t>公路建设</w:t>
            </w:r>
          </w:p>
        </w:tc>
        <w:tc>
          <w:tcPr>
            <w:tcW w:w="1361" w:type="dxa"/>
            <w:vAlign w:val="center"/>
          </w:tcPr>
          <w:p>
            <w:pPr>
              <w:pStyle w:val="13"/>
            </w:pPr>
            <w:r>
              <w:t>457.00</w:t>
            </w:r>
          </w:p>
        </w:tc>
        <w:tc>
          <w:tcPr>
            <w:tcW w:w="1361" w:type="dxa"/>
            <w:vAlign w:val="center"/>
          </w:tcPr>
          <w:p>
            <w:pPr>
              <w:pStyle w:val="13"/>
            </w:pPr>
          </w:p>
        </w:tc>
        <w:tc>
          <w:tcPr>
            <w:tcW w:w="1361" w:type="dxa"/>
            <w:vAlign w:val="center"/>
          </w:tcPr>
          <w:p>
            <w:pPr>
              <w:pStyle w:val="13"/>
            </w:pPr>
            <w:r>
              <w:t>457.00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2140106</w:t>
            </w:r>
          </w:p>
        </w:tc>
        <w:tc>
          <w:tcPr>
            <w:tcW w:w="4535" w:type="dxa"/>
            <w:vAlign w:val="center"/>
          </w:tcPr>
          <w:p>
            <w:pPr>
              <w:pStyle w:val="14"/>
            </w:pPr>
            <w:r>
              <w:t>公路养护</w:t>
            </w:r>
          </w:p>
        </w:tc>
        <w:tc>
          <w:tcPr>
            <w:tcW w:w="1361" w:type="dxa"/>
            <w:vAlign w:val="center"/>
          </w:tcPr>
          <w:p>
            <w:pPr>
              <w:pStyle w:val="13"/>
            </w:pPr>
            <w:r>
              <w:t>1038.85</w:t>
            </w:r>
          </w:p>
        </w:tc>
        <w:tc>
          <w:tcPr>
            <w:tcW w:w="1361" w:type="dxa"/>
            <w:vAlign w:val="center"/>
          </w:tcPr>
          <w:p>
            <w:pPr>
              <w:pStyle w:val="13"/>
            </w:pPr>
          </w:p>
        </w:tc>
        <w:tc>
          <w:tcPr>
            <w:tcW w:w="1361" w:type="dxa"/>
            <w:vAlign w:val="center"/>
          </w:tcPr>
          <w:p>
            <w:pPr>
              <w:pStyle w:val="13"/>
            </w:pPr>
            <w:r>
              <w:t>1038.85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2140112</w:t>
            </w:r>
          </w:p>
        </w:tc>
        <w:tc>
          <w:tcPr>
            <w:tcW w:w="4535" w:type="dxa"/>
            <w:vAlign w:val="center"/>
          </w:tcPr>
          <w:p>
            <w:pPr>
              <w:pStyle w:val="14"/>
            </w:pPr>
            <w:r>
              <w:t>公路运输管理</w:t>
            </w:r>
          </w:p>
        </w:tc>
        <w:tc>
          <w:tcPr>
            <w:tcW w:w="1361" w:type="dxa"/>
            <w:vAlign w:val="center"/>
          </w:tcPr>
          <w:p>
            <w:pPr>
              <w:pStyle w:val="13"/>
            </w:pPr>
            <w:r>
              <w:t>1066.00</w:t>
            </w:r>
          </w:p>
        </w:tc>
        <w:tc>
          <w:tcPr>
            <w:tcW w:w="1361" w:type="dxa"/>
            <w:vAlign w:val="center"/>
          </w:tcPr>
          <w:p>
            <w:pPr>
              <w:pStyle w:val="13"/>
            </w:pPr>
          </w:p>
        </w:tc>
        <w:tc>
          <w:tcPr>
            <w:tcW w:w="1361" w:type="dxa"/>
            <w:vAlign w:val="center"/>
          </w:tcPr>
          <w:p>
            <w:pPr>
              <w:pStyle w:val="13"/>
            </w:pPr>
            <w:r>
              <w:t>1066.00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21499</w:t>
            </w:r>
          </w:p>
        </w:tc>
        <w:tc>
          <w:tcPr>
            <w:tcW w:w="4535" w:type="dxa"/>
            <w:vAlign w:val="center"/>
          </w:tcPr>
          <w:p>
            <w:pPr>
              <w:pStyle w:val="14"/>
            </w:pPr>
            <w:r>
              <w:t>其他交通运输支出</w:t>
            </w:r>
          </w:p>
        </w:tc>
        <w:tc>
          <w:tcPr>
            <w:tcW w:w="1361" w:type="dxa"/>
            <w:vAlign w:val="center"/>
          </w:tcPr>
          <w:p>
            <w:pPr>
              <w:pStyle w:val="13"/>
            </w:pPr>
            <w:r>
              <w:t>281.49</w:t>
            </w:r>
          </w:p>
        </w:tc>
        <w:tc>
          <w:tcPr>
            <w:tcW w:w="1361" w:type="dxa"/>
            <w:vAlign w:val="center"/>
          </w:tcPr>
          <w:p>
            <w:pPr>
              <w:pStyle w:val="13"/>
            </w:pPr>
          </w:p>
        </w:tc>
        <w:tc>
          <w:tcPr>
            <w:tcW w:w="1361" w:type="dxa"/>
            <w:vAlign w:val="center"/>
          </w:tcPr>
          <w:p>
            <w:pPr>
              <w:pStyle w:val="13"/>
            </w:pPr>
            <w:r>
              <w:t>281.49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2149901</w:t>
            </w:r>
          </w:p>
        </w:tc>
        <w:tc>
          <w:tcPr>
            <w:tcW w:w="4535" w:type="dxa"/>
            <w:vAlign w:val="center"/>
          </w:tcPr>
          <w:p>
            <w:pPr>
              <w:pStyle w:val="14"/>
            </w:pPr>
            <w:r>
              <w:t>公共交通运营补助</w:t>
            </w:r>
          </w:p>
        </w:tc>
        <w:tc>
          <w:tcPr>
            <w:tcW w:w="1361" w:type="dxa"/>
            <w:vAlign w:val="center"/>
          </w:tcPr>
          <w:p>
            <w:pPr>
              <w:pStyle w:val="13"/>
            </w:pPr>
            <w:r>
              <w:t>281.49</w:t>
            </w:r>
          </w:p>
        </w:tc>
        <w:tc>
          <w:tcPr>
            <w:tcW w:w="1361" w:type="dxa"/>
            <w:vAlign w:val="center"/>
          </w:tcPr>
          <w:p>
            <w:pPr>
              <w:pStyle w:val="13"/>
            </w:pPr>
          </w:p>
        </w:tc>
        <w:tc>
          <w:tcPr>
            <w:tcW w:w="1361" w:type="dxa"/>
            <w:vAlign w:val="center"/>
          </w:tcPr>
          <w:p>
            <w:pPr>
              <w:pStyle w:val="13"/>
            </w:pPr>
            <w:r>
              <w:t>281.49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348001大厂回族自治县交通运输局</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6343.36</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r>
              <w:t>6343.36</w:t>
            </w:r>
          </w:p>
        </w:tc>
        <w:tc>
          <w:tcPr>
            <w:tcW w:w="1474" w:type="dxa"/>
            <w:vAlign w:val="center"/>
          </w:tcPr>
          <w:p>
            <w:pPr>
              <w:pStyle w:val="13"/>
            </w:pPr>
            <w:r>
              <w:t>6343.36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6343.36</w:t>
            </w:r>
          </w:p>
        </w:tc>
        <w:tc>
          <w:tcPr>
            <w:tcW w:w="3402" w:type="dxa"/>
            <w:vAlign w:val="center"/>
          </w:tcPr>
          <w:p>
            <w:pPr>
              <w:pStyle w:val="16"/>
            </w:pPr>
            <w:r>
              <w:t>本年支出合计</w:t>
            </w:r>
          </w:p>
        </w:tc>
        <w:tc>
          <w:tcPr>
            <w:tcW w:w="1474" w:type="dxa"/>
            <w:vAlign w:val="center"/>
          </w:tcPr>
          <w:p>
            <w:pPr>
              <w:pStyle w:val="17"/>
            </w:pPr>
            <w:r>
              <w:t>6343.36</w:t>
            </w:r>
          </w:p>
        </w:tc>
        <w:tc>
          <w:tcPr>
            <w:tcW w:w="1474" w:type="dxa"/>
            <w:vAlign w:val="center"/>
          </w:tcPr>
          <w:p>
            <w:pPr>
              <w:pStyle w:val="17"/>
            </w:pPr>
            <w:r>
              <w:t>6343.36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6343.36</w:t>
            </w:r>
          </w:p>
        </w:tc>
        <w:tc>
          <w:tcPr>
            <w:tcW w:w="3402" w:type="dxa"/>
            <w:vAlign w:val="center"/>
          </w:tcPr>
          <w:p>
            <w:pPr>
              <w:pStyle w:val="16"/>
            </w:pPr>
            <w:r>
              <w:t>支出总计</w:t>
            </w:r>
          </w:p>
        </w:tc>
        <w:tc>
          <w:tcPr>
            <w:tcW w:w="1474" w:type="dxa"/>
            <w:vAlign w:val="center"/>
          </w:tcPr>
          <w:p>
            <w:pPr>
              <w:pStyle w:val="17"/>
            </w:pPr>
            <w:r>
              <w:t>6343.36</w:t>
            </w:r>
          </w:p>
        </w:tc>
        <w:tc>
          <w:tcPr>
            <w:tcW w:w="1474" w:type="dxa"/>
            <w:vAlign w:val="center"/>
          </w:tcPr>
          <w:p>
            <w:pPr>
              <w:pStyle w:val="17"/>
            </w:pPr>
            <w:r>
              <w:t>6343.36</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348001大厂回族自治县交通运输局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6343.36</w:t>
            </w:r>
          </w:p>
        </w:tc>
        <w:tc>
          <w:tcPr>
            <w:tcW w:w="2551" w:type="dxa"/>
            <w:vAlign w:val="center"/>
          </w:tcPr>
          <w:p>
            <w:pPr>
              <w:pStyle w:val="17"/>
            </w:pPr>
            <w:r>
              <w:t>3485.02</w:t>
            </w:r>
          </w:p>
        </w:tc>
        <w:tc>
          <w:tcPr>
            <w:tcW w:w="2551" w:type="dxa"/>
            <w:vAlign w:val="center"/>
          </w:tcPr>
          <w:p>
            <w:pPr>
              <w:pStyle w:val="17"/>
            </w:pPr>
            <w:r>
              <w:t>2858.34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214</w:t>
            </w:r>
          </w:p>
        </w:tc>
        <w:tc>
          <w:tcPr>
            <w:tcW w:w="4535" w:type="dxa"/>
            <w:vAlign w:val="center"/>
          </w:tcPr>
          <w:p>
            <w:pPr>
              <w:pStyle w:val="14"/>
            </w:pPr>
            <w:r>
              <w:t>交通运输支出</w:t>
            </w:r>
          </w:p>
        </w:tc>
        <w:tc>
          <w:tcPr>
            <w:tcW w:w="2551" w:type="dxa"/>
            <w:vAlign w:val="center"/>
          </w:tcPr>
          <w:p>
            <w:pPr>
              <w:pStyle w:val="13"/>
            </w:pPr>
            <w:r>
              <w:t>6343.36</w:t>
            </w:r>
          </w:p>
        </w:tc>
        <w:tc>
          <w:tcPr>
            <w:tcW w:w="2551" w:type="dxa"/>
            <w:vAlign w:val="center"/>
          </w:tcPr>
          <w:p>
            <w:pPr>
              <w:pStyle w:val="13"/>
            </w:pPr>
            <w:r>
              <w:t>3485.02</w:t>
            </w:r>
          </w:p>
        </w:tc>
        <w:tc>
          <w:tcPr>
            <w:tcW w:w="2551" w:type="dxa"/>
            <w:vAlign w:val="center"/>
          </w:tcPr>
          <w:p>
            <w:pPr>
              <w:pStyle w:val="13"/>
            </w:pPr>
            <w:r>
              <w:t>2858.34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21401</w:t>
            </w:r>
          </w:p>
        </w:tc>
        <w:tc>
          <w:tcPr>
            <w:tcW w:w="4535" w:type="dxa"/>
            <w:vAlign w:val="center"/>
          </w:tcPr>
          <w:p>
            <w:pPr>
              <w:pStyle w:val="14"/>
            </w:pPr>
            <w:r>
              <w:t>公路水路运输</w:t>
            </w:r>
          </w:p>
        </w:tc>
        <w:tc>
          <w:tcPr>
            <w:tcW w:w="2551" w:type="dxa"/>
            <w:vAlign w:val="center"/>
          </w:tcPr>
          <w:p>
            <w:pPr>
              <w:pStyle w:val="13"/>
            </w:pPr>
            <w:r>
              <w:t>6061.87</w:t>
            </w:r>
          </w:p>
        </w:tc>
        <w:tc>
          <w:tcPr>
            <w:tcW w:w="2551" w:type="dxa"/>
            <w:vAlign w:val="center"/>
          </w:tcPr>
          <w:p>
            <w:pPr>
              <w:pStyle w:val="13"/>
            </w:pPr>
            <w:r>
              <w:t>3485.02</w:t>
            </w:r>
          </w:p>
        </w:tc>
        <w:tc>
          <w:tcPr>
            <w:tcW w:w="2551" w:type="dxa"/>
            <w:vAlign w:val="center"/>
          </w:tcPr>
          <w:p>
            <w:pPr>
              <w:pStyle w:val="13"/>
            </w:pPr>
            <w:r>
              <w:t>2576.85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2140101</w:t>
            </w:r>
          </w:p>
        </w:tc>
        <w:tc>
          <w:tcPr>
            <w:tcW w:w="4535" w:type="dxa"/>
            <w:vAlign w:val="center"/>
          </w:tcPr>
          <w:p>
            <w:pPr>
              <w:pStyle w:val="14"/>
            </w:pPr>
            <w:r>
              <w:t>行政运行</w:t>
            </w:r>
          </w:p>
        </w:tc>
        <w:tc>
          <w:tcPr>
            <w:tcW w:w="2551" w:type="dxa"/>
            <w:vAlign w:val="center"/>
          </w:tcPr>
          <w:p>
            <w:pPr>
              <w:pStyle w:val="13"/>
            </w:pPr>
            <w:r>
              <w:t>3485.02</w:t>
            </w:r>
          </w:p>
        </w:tc>
        <w:tc>
          <w:tcPr>
            <w:tcW w:w="2551" w:type="dxa"/>
            <w:vAlign w:val="center"/>
          </w:tcPr>
          <w:p>
            <w:pPr>
              <w:pStyle w:val="13"/>
            </w:pPr>
            <w:r>
              <w:t>3485.02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2140102</w:t>
            </w:r>
          </w:p>
        </w:tc>
        <w:tc>
          <w:tcPr>
            <w:tcW w:w="4535" w:type="dxa"/>
            <w:vAlign w:val="center"/>
          </w:tcPr>
          <w:p>
            <w:pPr>
              <w:pStyle w:val="14"/>
            </w:pPr>
            <w:r>
              <w:t>一般行政管理事务</w:t>
            </w:r>
          </w:p>
        </w:tc>
        <w:tc>
          <w:tcPr>
            <w:tcW w:w="2551" w:type="dxa"/>
            <w:vAlign w:val="center"/>
          </w:tcPr>
          <w:p>
            <w:pPr>
              <w:pStyle w:val="13"/>
            </w:pPr>
            <w:r>
              <w:t>15.00</w:t>
            </w:r>
          </w:p>
        </w:tc>
        <w:tc>
          <w:tcPr>
            <w:tcW w:w="2551" w:type="dxa"/>
            <w:vAlign w:val="center"/>
          </w:tcPr>
          <w:p>
            <w:pPr>
              <w:pStyle w:val="13"/>
            </w:pPr>
          </w:p>
        </w:tc>
        <w:tc>
          <w:tcPr>
            <w:tcW w:w="2551"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2140104</w:t>
            </w:r>
          </w:p>
        </w:tc>
        <w:tc>
          <w:tcPr>
            <w:tcW w:w="4535" w:type="dxa"/>
            <w:vAlign w:val="center"/>
          </w:tcPr>
          <w:p>
            <w:pPr>
              <w:pStyle w:val="14"/>
            </w:pPr>
            <w:r>
              <w:t>公路建设</w:t>
            </w:r>
          </w:p>
        </w:tc>
        <w:tc>
          <w:tcPr>
            <w:tcW w:w="2551" w:type="dxa"/>
            <w:vAlign w:val="center"/>
          </w:tcPr>
          <w:p>
            <w:pPr>
              <w:pStyle w:val="13"/>
            </w:pPr>
            <w:r>
              <w:t>457.00</w:t>
            </w:r>
          </w:p>
        </w:tc>
        <w:tc>
          <w:tcPr>
            <w:tcW w:w="2551" w:type="dxa"/>
            <w:vAlign w:val="center"/>
          </w:tcPr>
          <w:p>
            <w:pPr>
              <w:pStyle w:val="13"/>
            </w:pPr>
          </w:p>
        </w:tc>
        <w:tc>
          <w:tcPr>
            <w:tcW w:w="2551" w:type="dxa"/>
            <w:vAlign w:val="center"/>
          </w:tcPr>
          <w:p>
            <w:pPr>
              <w:pStyle w:val="13"/>
            </w:pPr>
            <w:r>
              <w:t>457.00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2140106</w:t>
            </w:r>
          </w:p>
        </w:tc>
        <w:tc>
          <w:tcPr>
            <w:tcW w:w="4535" w:type="dxa"/>
            <w:vAlign w:val="center"/>
          </w:tcPr>
          <w:p>
            <w:pPr>
              <w:pStyle w:val="14"/>
            </w:pPr>
            <w:r>
              <w:t>公路养护</w:t>
            </w:r>
          </w:p>
        </w:tc>
        <w:tc>
          <w:tcPr>
            <w:tcW w:w="2551" w:type="dxa"/>
            <w:vAlign w:val="center"/>
          </w:tcPr>
          <w:p>
            <w:pPr>
              <w:pStyle w:val="13"/>
            </w:pPr>
            <w:r>
              <w:t>1038.85</w:t>
            </w:r>
          </w:p>
        </w:tc>
        <w:tc>
          <w:tcPr>
            <w:tcW w:w="2551" w:type="dxa"/>
            <w:vAlign w:val="center"/>
          </w:tcPr>
          <w:p>
            <w:pPr>
              <w:pStyle w:val="13"/>
            </w:pPr>
          </w:p>
        </w:tc>
        <w:tc>
          <w:tcPr>
            <w:tcW w:w="2551" w:type="dxa"/>
            <w:vAlign w:val="center"/>
          </w:tcPr>
          <w:p>
            <w:pPr>
              <w:pStyle w:val="13"/>
            </w:pPr>
            <w:r>
              <w:t>1038.85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2140112</w:t>
            </w:r>
          </w:p>
        </w:tc>
        <w:tc>
          <w:tcPr>
            <w:tcW w:w="4535" w:type="dxa"/>
            <w:vAlign w:val="center"/>
          </w:tcPr>
          <w:p>
            <w:pPr>
              <w:pStyle w:val="14"/>
            </w:pPr>
            <w:r>
              <w:t>公路运输管理</w:t>
            </w:r>
          </w:p>
        </w:tc>
        <w:tc>
          <w:tcPr>
            <w:tcW w:w="2551" w:type="dxa"/>
            <w:vAlign w:val="center"/>
          </w:tcPr>
          <w:p>
            <w:pPr>
              <w:pStyle w:val="13"/>
            </w:pPr>
            <w:r>
              <w:t>1066.00</w:t>
            </w:r>
          </w:p>
        </w:tc>
        <w:tc>
          <w:tcPr>
            <w:tcW w:w="2551" w:type="dxa"/>
            <w:vAlign w:val="center"/>
          </w:tcPr>
          <w:p>
            <w:pPr>
              <w:pStyle w:val="13"/>
            </w:pPr>
          </w:p>
        </w:tc>
        <w:tc>
          <w:tcPr>
            <w:tcW w:w="2551" w:type="dxa"/>
            <w:vAlign w:val="center"/>
          </w:tcPr>
          <w:p>
            <w:pPr>
              <w:pStyle w:val="13"/>
            </w:pPr>
            <w:r>
              <w:t>1066.00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21499</w:t>
            </w:r>
          </w:p>
        </w:tc>
        <w:tc>
          <w:tcPr>
            <w:tcW w:w="4535" w:type="dxa"/>
            <w:vAlign w:val="center"/>
          </w:tcPr>
          <w:p>
            <w:pPr>
              <w:pStyle w:val="14"/>
            </w:pPr>
            <w:r>
              <w:t>其他交通运输支出</w:t>
            </w:r>
          </w:p>
        </w:tc>
        <w:tc>
          <w:tcPr>
            <w:tcW w:w="2551" w:type="dxa"/>
            <w:vAlign w:val="center"/>
          </w:tcPr>
          <w:p>
            <w:pPr>
              <w:pStyle w:val="13"/>
            </w:pPr>
            <w:r>
              <w:t>281.49</w:t>
            </w:r>
          </w:p>
        </w:tc>
        <w:tc>
          <w:tcPr>
            <w:tcW w:w="2551" w:type="dxa"/>
            <w:vAlign w:val="center"/>
          </w:tcPr>
          <w:p>
            <w:pPr>
              <w:pStyle w:val="13"/>
            </w:pPr>
          </w:p>
        </w:tc>
        <w:tc>
          <w:tcPr>
            <w:tcW w:w="2551" w:type="dxa"/>
            <w:vAlign w:val="center"/>
          </w:tcPr>
          <w:p>
            <w:pPr>
              <w:pStyle w:val="13"/>
            </w:pPr>
            <w:r>
              <w:t>281.49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2149901</w:t>
            </w:r>
          </w:p>
        </w:tc>
        <w:tc>
          <w:tcPr>
            <w:tcW w:w="4535" w:type="dxa"/>
            <w:vAlign w:val="center"/>
          </w:tcPr>
          <w:p>
            <w:pPr>
              <w:pStyle w:val="14"/>
            </w:pPr>
            <w:r>
              <w:t>公共交通运营补助</w:t>
            </w:r>
          </w:p>
        </w:tc>
        <w:tc>
          <w:tcPr>
            <w:tcW w:w="2551" w:type="dxa"/>
            <w:vAlign w:val="center"/>
          </w:tcPr>
          <w:p>
            <w:pPr>
              <w:pStyle w:val="13"/>
            </w:pPr>
            <w:r>
              <w:t>281.49</w:t>
            </w:r>
          </w:p>
        </w:tc>
        <w:tc>
          <w:tcPr>
            <w:tcW w:w="2551" w:type="dxa"/>
            <w:vAlign w:val="center"/>
          </w:tcPr>
          <w:p>
            <w:pPr>
              <w:pStyle w:val="13"/>
            </w:pPr>
          </w:p>
        </w:tc>
        <w:tc>
          <w:tcPr>
            <w:tcW w:w="2551" w:type="dxa"/>
            <w:vAlign w:val="center"/>
          </w:tcPr>
          <w:p>
            <w:pPr>
              <w:pStyle w:val="13"/>
            </w:pPr>
            <w:r>
              <w:t>281.49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348001大厂回族自治县交通运输局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3485.02</w:t>
            </w:r>
          </w:p>
        </w:tc>
        <w:tc>
          <w:tcPr>
            <w:tcW w:w="2551" w:type="dxa"/>
            <w:vAlign w:val="center"/>
          </w:tcPr>
          <w:p>
            <w:pPr>
              <w:pStyle w:val="17"/>
            </w:pPr>
            <w:r>
              <w:t>3329.01</w:t>
            </w:r>
          </w:p>
        </w:tc>
        <w:tc>
          <w:tcPr>
            <w:tcW w:w="2551" w:type="dxa"/>
            <w:vAlign w:val="center"/>
          </w:tcPr>
          <w:p>
            <w:pPr>
              <w:pStyle w:val="17"/>
            </w:pPr>
            <w:r>
              <w:t>156.01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rPr>
                <w:rFonts w:hint="eastAsia" w:eastAsia="方正书宋_GBK"/>
                <w:lang w:val="en-US" w:eastAsia="zh-CN"/>
              </w:rPr>
            </w:pPr>
            <w:r>
              <w:t>2558.5</w:t>
            </w:r>
            <w:r>
              <w:rPr>
                <w:rFonts w:hint="eastAsia"/>
                <w:lang w:val="en-US" w:eastAsia="zh-CN"/>
              </w:rPr>
              <w:t>8</w:t>
            </w:r>
          </w:p>
        </w:tc>
        <w:tc>
          <w:tcPr>
            <w:tcW w:w="2551" w:type="dxa"/>
            <w:vAlign w:val="center"/>
          </w:tcPr>
          <w:p>
            <w:pPr>
              <w:pStyle w:val="13"/>
              <w:rPr>
                <w:rFonts w:hint="eastAsia" w:eastAsia="方正书宋_GBK"/>
                <w:lang w:val="en-US" w:eastAsia="zh-CN"/>
              </w:rPr>
            </w:pPr>
            <w:r>
              <w:t>2558.5</w:t>
            </w:r>
            <w:r>
              <w:rPr>
                <w:rFonts w:hint="eastAsia"/>
                <w:lang w:val="en-US" w:eastAsia="zh-CN"/>
              </w:rPr>
              <w:t>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26.50</w:t>
            </w:r>
          </w:p>
        </w:tc>
        <w:tc>
          <w:tcPr>
            <w:tcW w:w="2551" w:type="dxa"/>
            <w:vAlign w:val="center"/>
          </w:tcPr>
          <w:p>
            <w:pPr>
              <w:pStyle w:val="13"/>
            </w:pPr>
            <w:r>
              <w:t>26.50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2532.08</w:t>
            </w:r>
          </w:p>
        </w:tc>
        <w:tc>
          <w:tcPr>
            <w:tcW w:w="2551" w:type="dxa"/>
            <w:vAlign w:val="center"/>
          </w:tcPr>
          <w:p>
            <w:pPr>
              <w:pStyle w:val="13"/>
            </w:pPr>
            <w:r>
              <w:t>2532.08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156.01</w:t>
            </w:r>
          </w:p>
        </w:tc>
        <w:tc>
          <w:tcPr>
            <w:tcW w:w="2551" w:type="dxa"/>
            <w:vAlign w:val="center"/>
          </w:tcPr>
          <w:p>
            <w:pPr>
              <w:pStyle w:val="13"/>
            </w:pPr>
          </w:p>
        </w:tc>
        <w:tc>
          <w:tcPr>
            <w:tcW w:w="2551" w:type="dxa"/>
            <w:vAlign w:val="center"/>
          </w:tcPr>
          <w:p>
            <w:pPr>
              <w:pStyle w:val="13"/>
            </w:pPr>
            <w:r>
              <w:t>156.01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25.49</w:t>
            </w:r>
          </w:p>
        </w:tc>
        <w:tc>
          <w:tcPr>
            <w:tcW w:w="2551" w:type="dxa"/>
            <w:vAlign w:val="center"/>
          </w:tcPr>
          <w:p>
            <w:pPr>
              <w:pStyle w:val="13"/>
            </w:pPr>
          </w:p>
        </w:tc>
        <w:tc>
          <w:tcPr>
            <w:tcW w:w="2551" w:type="dxa"/>
            <w:vAlign w:val="center"/>
          </w:tcPr>
          <w:p>
            <w:pPr>
              <w:pStyle w:val="13"/>
            </w:pPr>
            <w:r>
              <w:t>25.49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0.88</w:t>
            </w:r>
          </w:p>
        </w:tc>
        <w:tc>
          <w:tcPr>
            <w:tcW w:w="2551" w:type="dxa"/>
            <w:vAlign w:val="center"/>
          </w:tcPr>
          <w:p>
            <w:pPr>
              <w:pStyle w:val="13"/>
            </w:pPr>
          </w:p>
        </w:tc>
        <w:tc>
          <w:tcPr>
            <w:tcW w:w="2551" w:type="dxa"/>
            <w:vAlign w:val="center"/>
          </w:tcPr>
          <w:p>
            <w:pPr>
              <w:pStyle w:val="13"/>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7.40</w:t>
            </w:r>
          </w:p>
        </w:tc>
        <w:tc>
          <w:tcPr>
            <w:tcW w:w="2551" w:type="dxa"/>
            <w:vAlign w:val="center"/>
          </w:tcPr>
          <w:p>
            <w:pPr>
              <w:pStyle w:val="13"/>
            </w:pPr>
          </w:p>
        </w:tc>
        <w:tc>
          <w:tcPr>
            <w:tcW w:w="2551" w:type="dxa"/>
            <w:vAlign w:val="center"/>
          </w:tcPr>
          <w:p>
            <w:pPr>
              <w:pStyle w:val="13"/>
            </w:pPr>
            <w:r>
              <w:t>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76.60</w:t>
            </w:r>
          </w:p>
        </w:tc>
        <w:tc>
          <w:tcPr>
            <w:tcW w:w="2551" w:type="dxa"/>
            <w:vAlign w:val="center"/>
          </w:tcPr>
          <w:p>
            <w:pPr>
              <w:pStyle w:val="13"/>
            </w:pPr>
          </w:p>
        </w:tc>
        <w:tc>
          <w:tcPr>
            <w:tcW w:w="2551" w:type="dxa"/>
            <w:vAlign w:val="center"/>
          </w:tcPr>
          <w:p>
            <w:pPr>
              <w:pStyle w:val="13"/>
            </w:pPr>
            <w:r>
              <w:t>76.60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7.80</w:t>
            </w:r>
          </w:p>
        </w:tc>
        <w:tc>
          <w:tcPr>
            <w:tcW w:w="2551" w:type="dxa"/>
            <w:vAlign w:val="center"/>
          </w:tcPr>
          <w:p>
            <w:pPr>
              <w:pStyle w:val="13"/>
            </w:pPr>
          </w:p>
        </w:tc>
        <w:tc>
          <w:tcPr>
            <w:tcW w:w="2551" w:type="dxa"/>
            <w:vAlign w:val="center"/>
          </w:tcPr>
          <w:p>
            <w:pPr>
              <w:pStyle w:val="13"/>
            </w:pPr>
            <w: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1.50</w:t>
            </w:r>
          </w:p>
        </w:tc>
        <w:tc>
          <w:tcPr>
            <w:tcW w:w="2551" w:type="dxa"/>
            <w:vAlign w:val="center"/>
          </w:tcPr>
          <w:p>
            <w:pPr>
              <w:pStyle w:val="13"/>
            </w:pPr>
          </w:p>
        </w:tc>
        <w:tc>
          <w:tcPr>
            <w:tcW w:w="2551"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7.15</w:t>
            </w:r>
          </w:p>
        </w:tc>
        <w:tc>
          <w:tcPr>
            <w:tcW w:w="2551" w:type="dxa"/>
            <w:vAlign w:val="center"/>
          </w:tcPr>
          <w:p>
            <w:pPr>
              <w:pStyle w:val="13"/>
            </w:pPr>
          </w:p>
        </w:tc>
        <w:tc>
          <w:tcPr>
            <w:tcW w:w="2551" w:type="dxa"/>
            <w:vAlign w:val="center"/>
          </w:tcPr>
          <w:p>
            <w:pPr>
              <w:pStyle w:val="13"/>
            </w:pPr>
            <w:r>
              <w:t>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0.60</w:t>
            </w:r>
          </w:p>
        </w:tc>
        <w:tc>
          <w:tcPr>
            <w:tcW w:w="2551" w:type="dxa"/>
            <w:vAlign w:val="center"/>
          </w:tcPr>
          <w:p>
            <w:pPr>
              <w:pStyle w:val="13"/>
            </w:pPr>
          </w:p>
        </w:tc>
        <w:tc>
          <w:tcPr>
            <w:tcW w:w="2551"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0.10</w:t>
            </w:r>
          </w:p>
        </w:tc>
        <w:tc>
          <w:tcPr>
            <w:tcW w:w="2551" w:type="dxa"/>
            <w:vAlign w:val="center"/>
          </w:tcPr>
          <w:p>
            <w:pPr>
              <w:pStyle w:val="13"/>
            </w:pPr>
          </w:p>
        </w:tc>
        <w:tc>
          <w:tcPr>
            <w:tcW w:w="2551"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5.86</w:t>
            </w:r>
          </w:p>
        </w:tc>
        <w:tc>
          <w:tcPr>
            <w:tcW w:w="2551" w:type="dxa"/>
            <w:vAlign w:val="center"/>
          </w:tcPr>
          <w:p>
            <w:pPr>
              <w:pStyle w:val="13"/>
            </w:pPr>
          </w:p>
        </w:tc>
        <w:tc>
          <w:tcPr>
            <w:tcW w:w="2551" w:type="dxa"/>
            <w:vAlign w:val="center"/>
          </w:tcPr>
          <w:p>
            <w:pPr>
              <w:pStyle w:val="13"/>
            </w:pPr>
            <w:r>
              <w:t>5.86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6.45</w:t>
            </w:r>
          </w:p>
        </w:tc>
        <w:tc>
          <w:tcPr>
            <w:tcW w:w="2551" w:type="dxa"/>
            <w:vAlign w:val="center"/>
          </w:tcPr>
          <w:p>
            <w:pPr>
              <w:pStyle w:val="13"/>
            </w:pPr>
          </w:p>
        </w:tc>
        <w:tc>
          <w:tcPr>
            <w:tcW w:w="2551" w:type="dxa"/>
            <w:vAlign w:val="center"/>
          </w:tcPr>
          <w:p>
            <w:pPr>
              <w:pStyle w:val="13"/>
            </w:pPr>
            <w:r>
              <w:t>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6.18</w:t>
            </w:r>
          </w:p>
        </w:tc>
        <w:tc>
          <w:tcPr>
            <w:tcW w:w="2551" w:type="dxa"/>
            <w:vAlign w:val="center"/>
          </w:tcPr>
          <w:p>
            <w:pPr>
              <w:pStyle w:val="13"/>
            </w:pPr>
          </w:p>
        </w:tc>
        <w:tc>
          <w:tcPr>
            <w:tcW w:w="2551" w:type="dxa"/>
            <w:vAlign w:val="center"/>
          </w:tcPr>
          <w:p>
            <w:pPr>
              <w:pStyle w:val="13"/>
            </w:pPr>
            <w:r>
              <w:t>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rPr>
                <w:rFonts w:hint="eastAsia" w:eastAsia="方正书宋_GBK"/>
                <w:lang w:val="en-US" w:eastAsia="zh-CN"/>
              </w:rPr>
            </w:pPr>
            <w:r>
              <w:t>770.4</w:t>
            </w:r>
            <w:r>
              <w:rPr>
                <w:rFonts w:hint="eastAsia"/>
                <w:lang w:val="en-US" w:eastAsia="zh-CN"/>
              </w:rPr>
              <w:t>3</w:t>
            </w:r>
          </w:p>
        </w:tc>
        <w:tc>
          <w:tcPr>
            <w:tcW w:w="2551" w:type="dxa"/>
            <w:vAlign w:val="center"/>
          </w:tcPr>
          <w:p>
            <w:pPr>
              <w:pStyle w:val="13"/>
              <w:rPr>
                <w:rFonts w:hint="eastAsia" w:eastAsia="方正书宋_GBK"/>
                <w:lang w:val="en-US" w:eastAsia="zh-CN"/>
              </w:rPr>
            </w:pPr>
            <w:r>
              <w:t>770.4</w:t>
            </w:r>
            <w:r>
              <w:rPr>
                <w:rFonts w:hint="eastAsia"/>
                <w:lang w:val="en-US" w:eastAsia="zh-CN"/>
              </w:rPr>
              <w:t>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rPr>
                <w:rFonts w:hint="eastAsia" w:eastAsia="方正书宋_GBK"/>
                <w:lang w:val="en-US" w:eastAsia="zh-CN"/>
              </w:rPr>
            </w:pPr>
            <w:r>
              <w:t>730.8</w:t>
            </w:r>
            <w:r>
              <w:rPr>
                <w:rFonts w:hint="eastAsia"/>
                <w:lang w:val="en-US" w:eastAsia="zh-CN"/>
              </w:rPr>
              <w:t>2</w:t>
            </w:r>
          </w:p>
        </w:tc>
        <w:tc>
          <w:tcPr>
            <w:tcW w:w="2551" w:type="dxa"/>
            <w:vAlign w:val="center"/>
          </w:tcPr>
          <w:p>
            <w:pPr>
              <w:pStyle w:val="13"/>
              <w:rPr>
                <w:rFonts w:hint="eastAsia" w:eastAsia="方正书宋_GBK"/>
                <w:lang w:val="en-US" w:eastAsia="zh-CN"/>
              </w:rPr>
            </w:pPr>
            <w:r>
              <w:t>730.8</w:t>
            </w:r>
            <w:r>
              <w:rPr>
                <w:rFonts w:hint="eastAsia"/>
                <w:lang w:val="en-US" w:eastAsia="zh-CN"/>
              </w:rPr>
              <w:t>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39.61</w:t>
            </w:r>
          </w:p>
        </w:tc>
        <w:tc>
          <w:tcPr>
            <w:tcW w:w="2551" w:type="dxa"/>
            <w:vAlign w:val="center"/>
          </w:tcPr>
          <w:p>
            <w:pPr>
              <w:pStyle w:val="13"/>
            </w:pPr>
            <w:r>
              <w:t>39.61</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348001大厂回族自治县交通运输局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348001大厂回族自治县交通运输局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348001大厂回族自治县交通运输局</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“三公”经费小计</w:t>
            </w:r>
          </w:p>
        </w:tc>
        <w:tc>
          <w:tcPr>
            <w:tcW w:w="2381" w:type="dxa"/>
            <w:vAlign w:val="center"/>
          </w:tcPr>
          <w:p>
            <w:pPr>
              <w:pStyle w:val="17"/>
            </w:pPr>
            <w:r>
              <w:t>5.10</w:t>
            </w:r>
          </w:p>
        </w:tc>
        <w:tc>
          <w:tcPr>
            <w:tcW w:w="2381" w:type="dxa"/>
            <w:vAlign w:val="center"/>
          </w:tcPr>
          <w:p>
            <w:pPr>
              <w:pStyle w:val="17"/>
            </w:pPr>
            <w:r>
              <w:t>5.10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二、公务用车购置及运维费</w:t>
            </w:r>
          </w:p>
        </w:tc>
        <w:tc>
          <w:tcPr>
            <w:tcW w:w="2381" w:type="dxa"/>
            <w:vAlign w:val="center"/>
          </w:tcPr>
          <w:p>
            <w:pPr>
              <w:pStyle w:val="13"/>
            </w:pPr>
            <w:r>
              <w:t>5.00</w:t>
            </w:r>
          </w:p>
        </w:tc>
        <w:tc>
          <w:tcPr>
            <w:tcW w:w="2381" w:type="dxa"/>
            <w:vAlign w:val="center"/>
          </w:tcPr>
          <w:p>
            <w:pPr>
              <w:pStyle w:val="13"/>
            </w:pPr>
            <w:r>
              <w:t>5.00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公务用车运行维护费</w:t>
            </w:r>
          </w:p>
        </w:tc>
        <w:tc>
          <w:tcPr>
            <w:tcW w:w="2381" w:type="dxa"/>
            <w:vAlign w:val="center"/>
          </w:tcPr>
          <w:p>
            <w:pPr>
              <w:pStyle w:val="13"/>
            </w:pPr>
            <w:r>
              <w:t>5.00</w:t>
            </w:r>
          </w:p>
        </w:tc>
        <w:tc>
          <w:tcPr>
            <w:tcW w:w="2381" w:type="dxa"/>
            <w:vAlign w:val="center"/>
          </w:tcPr>
          <w:p>
            <w:pPr>
              <w:pStyle w:val="13"/>
            </w:pPr>
            <w:r>
              <w:t>5.00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三、公务接待费</w:t>
            </w:r>
          </w:p>
        </w:tc>
        <w:tc>
          <w:tcPr>
            <w:tcW w:w="2381" w:type="dxa"/>
            <w:vAlign w:val="center"/>
          </w:tcPr>
          <w:p>
            <w:pPr>
              <w:pStyle w:val="13"/>
            </w:pPr>
            <w:r>
              <w:t>0.10</w:t>
            </w:r>
          </w:p>
        </w:tc>
        <w:tc>
          <w:tcPr>
            <w:tcW w:w="2381" w:type="dxa"/>
            <w:vAlign w:val="center"/>
          </w:tcPr>
          <w:p>
            <w:pPr>
              <w:pStyle w:val="13"/>
            </w:pPr>
            <w:r>
              <w:t>0.10</w:t>
            </w: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大厂回族自治县交通运输局2024年单位预算信息公开情况说明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按照《中华人民共和国预算法》、《地方预决算公开操作规程》和《关于进一步推进预算公开工作的实施意见》规定，现将大厂回族自治县交通运输局2024年单位预算公开如下：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pStyle w:val="19"/>
      </w:pPr>
      <w:r>
        <w:t>部门职责：</w:t>
      </w:r>
    </w:p>
    <w:p>
      <w:pPr>
        <w:pStyle w:val="19"/>
      </w:pPr>
      <w:r>
        <w:t>（一）会同有关部门推进全县综合交通运输体系建设，统筹规划公路、水路、地方铁路、民航行业发展，建立健全与全县综合交通运输体系相适应的制度体制机制，优化县内交通运输主要通道和重要枢纽节点布局，促进各种交通运输方式融合。</w:t>
      </w:r>
    </w:p>
    <w:p>
      <w:pPr>
        <w:pStyle w:val="19"/>
      </w:pPr>
      <w:r>
        <w:t>（二）会同有关部门组织拟订全县综合交通运输发展战略和政策，组织编制全县综合交通运输体系规划，拟订公路、水路、地方铁路、民航发展战略、政策和规划并监督实施，指导综合交通运输枢纽规划和管理。参与拟订物流业发展战略和规划，拟订有关政策和标准并监督实施。</w:t>
      </w:r>
    </w:p>
    <w:p>
      <w:pPr>
        <w:pStyle w:val="19"/>
      </w:pPr>
      <w:r>
        <w:t>（三）负责组织起草地方性综合交通运输规章草案，统筹全县公路、水路、地方铁路、民航相关规章草案的起草工作。负责交通运输综合行政执法政策标准的制定、监督指导、重大案件查处和跨区域执法的组织协调工作。指导全县交通运输综合行政执法和队伍建设有关工作。指导全县交通运输行业体制改革工作。</w:t>
      </w:r>
    </w:p>
    <w:p>
      <w:pPr>
        <w:pStyle w:val="19"/>
      </w:pPr>
      <w:r>
        <w:t>（四）负责拟订全县综合交通运输标准，组织拟订并监督实施全县公路、水路、地方铁路等行业标准，协调衔接各种交通运输方式标准。</w:t>
      </w:r>
    </w:p>
    <w:p>
      <w:pPr>
        <w:pStyle w:val="19"/>
      </w:pPr>
      <w:r>
        <w:t>（五）承担全县道路、水路、地方铁路运输市场监管责任，组织拟订道路、水路、地方铁路运输有关政策、准入退出制度、技术标准和运营规范并监督实施。指导城乡客运及有关设施规划和管理，指导城市客运工作。</w:t>
      </w:r>
    </w:p>
    <w:p>
      <w:pPr>
        <w:pStyle w:val="19"/>
      </w:pPr>
      <w:r>
        <w:t>（六）负责全县地方铁路行业管理工作，牵头负责铁路沿线环境安全监管职责。</w:t>
      </w:r>
    </w:p>
    <w:p>
      <w:pPr>
        <w:pStyle w:val="19"/>
      </w:pPr>
      <w:r>
        <w:t>（七）承担管辖水域水上交通安全监管责任。负责权限范围内水上交通管制及相关水上设施检验、登记和防止污染等工作。负责渔船的监督管理。依法组织或参与事故调查处理。指导地方海事和船员管理有关事宜。</w:t>
      </w:r>
    </w:p>
    <w:p>
      <w:pPr>
        <w:pStyle w:val="19"/>
      </w:pPr>
      <w:r>
        <w:t>（八）负责提出全县交通运输行业固定资产投资规模和方向、县财政性资金安排意见。按县政府规定权限审批，核准县规划内和年度计划规模内的固定资产投资项目。负责交通国有资产管理和交通专项资金的管理、使用。指导行业内部审计工作。承担交通运输行业财政预算资金的绩效监督和管理工作。代表县政府履行交通运输类企业出资人职责。</w:t>
      </w:r>
    </w:p>
    <w:p>
      <w:pPr>
        <w:pStyle w:val="19"/>
      </w:pPr>
      <w:r>
        <w:t>（九）承担全县公路、水路、地方铁路建设市场监管责任。拟订公路、水路、地方铁路建设相关政策、制度和技术标准并监督实施。组织协调公路、水路、地方铁路等有关重点工程建设、工程质量和安全生产监督管理工作，指导交通运输基础设施管理和维护。负责全县交通基本建设项目招投标活动的监督管理。负责全县收费公路管理。</w:t>
      </w:r>
    </w:p>
    <w:p>
      <w:pPr>
        <w:pStyle w:val="19"/>
      </w:pPr>
      <w:r>
        <w:t>（十）负责全县民航业发展建设和管理的组织协调。</w:t>
      </w:r>
    </w:p>
    <w:p>
      <w:pPr>
        <w:pStyle w:val="19"/>
      </w:pPr>
      <w:r>
        <w:t>（十一）指导全县公路、水路、地方铁路行业安全生产和应急管理。按规定组织协调国家、省、市、县重点物资和紧急客货运输。负责县内高速公路及国、省重点干线公路网运行监测和应急处置协调工作。配合做好国防交通有关工作。</w:t>
      </w:r>
    </w:p>
    <w:p>
      <w:pPr>
        <w:pStyle w:val="19"/>
      </w:pPr>
      <w:r>
        <w:t>（十二）指导全县交通运输信息化建设。承担综合交通运输统计工作，监测分析交通运输运行情况，发布有关信息。指导公路、水路、地方铁路行业环境保护和节能减排。</w:t>
      </w:r>
    </w:p>
    <w:p>
      <w:pPr>
        <w:pStyle w:val="19"/>
      </w:pPr>
      <w:r>
        <w:t>（十三）负责拟订全县交通运输行业科技政策、技术标准和规范，组织科技开发，推动行业技术进步。指导行业教育培训工作。指导行业精神文明建设。</w:t>
      </w:r>
    </w:p>
    <w:p>
      <w:pPr>
        <w:pStyle w:val="19"/>
      </w:pPr>
      <w:r>
        <w:t>（十四）负责全县交通运输行业涉外事宜，开展与国际和港澳台地区交通运输经济技术合作与交流。</w:t>
      </w:r>
    </w:p>
    <w:p>
      <w:pPr>
        <w:pStyle w:val="19"/>
      </w:pPr>
      <w:r>
        <w:t>（十五）负责全县京津冀协同发展交通一体化组织协调工作。</w:t>
      </w:r>
    </w:p>
    <w:p>
      <w:pPr>
        <w:pStyle w:val="19"/>
      </w:pPr>
      <w:r>
        <w:t>（十六）完成县委、县政府交办的其他任务。</w:t>
      </w:r>
    </w:p>
    <w:p>
      <w:pPr>
        <w:pStyle w:val="19"/>
        <w:ind w:left="0" w:leftChars="0" w:firstLine="0" w:firstLineChars="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大厂回族自治县交通运输局</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0"/>
      </w:pPr>
      <w:r>
        <w:t>按照预算管理有关规定，目前单位预算的编制实行综合预算管理，即全部收入和支出都反映在预算中。</w:t>
      </w:r>
    </w:p>
    <w:p>
      <w:pPr>
        <w:pStyle w:val="20"/>
      </w:pPr>
      <w:r>
        <w:t>1、收入说明</w:t>
      </w:r>
    </w:p>
    <w:p>
      <w:pPr>
        <w:pStyle w:val="20"/>
      </w:pPr>
      <w:r>
        <w:t>反映本单位当年全部收入。2024年预算收入6343.36万元，其中：一般公共预算收入6343.36万元，基金预算收入0.00万元，国有资本经营预算收入0.00万元，财政专户核拨收入0.00万元，单位资金收入0.00万元，上年结转结余0.00万元。</w:t>
      </w:r>
    </w:p>
    <w:p>
      <w:pPr>
        <w:pStyle w:val="20"/>
      </w:pPr>
      <w:r>
        <w:t>2、支出说明</w:t>
      </w:r>
    </w:p>
    <w:p>
      <w:pPr>
        <w:pStyle w:val="20"/>
      </w:pPr>
      <w:r>
        <w:t>收支预算总表支出栏、基本支出表、项目支出表按经济分类和支出功能分类科目编制，反映大厂回族自治县交通运输局年度单位预算中支出预算的总体情况。2024年支出预算6343.36万元，其中基本支出3485.02万元，包括人员经费3329.01万元和日常公用经费156.01万元；项目支出2858.34万元，主要为成品油税费改革税收返还资金（农村公路建设改造工程）、国省干线清扫保洁保畅经费（含大气污染防治）、农村公路日常养护保洁（含大气污染防治）、县域公交运营补贴等项目支出。</w:t>
      </w:r>
    </w:p>
    <w:p>
      <w:pPr>
        <w:pStyle w:val="20"/>
      </w:pPr>
      <w:r>
        <w:t>3、比上年增减情况</w:t>
      </w:r>
    </w:p>
    <w:p>
      <w:pPr>
        <w:pStyle w:val="20"/>
      </w:pPr>
      <w:r>
        <w:t>2024年预算收支安排6343.36万元，较2023年预算减少386.22万元，其中：基本支出减少35.54万元，主要为退休人员增加。项目支出减少350.68万元，主要为工程项目减少。</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4"/>
      </w:pPr>
      <w:r>
        <w:t>2024年，我</w:t>
      </w:r>
      <w:r>
        <w:rPr>
          <w:rFonts w:hint="eastAsia"/>
          <w:lang w:eastAsia="zh-CN"/>
        </w:rPr>
        <w:t>单位</w:t>
      </w:r>
      <w:r>
        <w:t>机关运行经费共计安排156.01万元，主要用于日常维修、办公用房水电费、办公用房取暖费、办公用房物业管理费等日常运行支出。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5"/>
      </w:pPr>
      <w:r>
        <w:t>2024年，我</w:t>
      </w:r>
      <w:r>
        <w:rPr>
          <w:rFonts w:hint="eastAsia"/>
          <w:lang w:eastAsia="zh-CN"/>
        </w:rPr>
        <w:t>单位</w:t>
      </w:r>
      <w:r>
        <w:t>财政拨款“三公”经费预算安排5.10万元，其中因公出国（境）费0.00万元；公务用车购置及运维费5.00万元（其中：公务用车购置费为0.00万元，公务用车运维费5.00万元)；公务接待费0.10万元。与2023年相比增加0.00万元，增减变化的主要原因是与2023年相比持平，无增减变化。</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1、成品油税费改革税收返还资金（农村公路建设改造工程）绩效目标表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13102824P002805109960</w:t>
            </w:r>
          </w:p>
        </w:tc>
        <w:tc>
          <w:tcPr>
            <w:tcW w:w="2835" w:type="dxa"/>
            <w:vAlign w:val="center"/>
          </w:tcPr>
          <w:p>
            <w:pPr>
              <w:pStyle w:val="12"/>
            </w:pPr>
            <w:r>
              <w:t>项目名称</w:t>
            </w:r>
          </w:p>
        </w:tc>
        <w:tc>
          <w:tcPr>
            <w:tcW w:w="6094" w:type="dxa"/>
            <w:gridSpan w:val="3"/>
            <w:vAlign w:val="center"/>
          </w:tcPr>
          <w:p>
            <w:pPr>
              <w:pStyle w:val="14"/>
            </w:pPr>
            <w:r>
              <w:t>成品油税费改革税收返还资金（农村公路建设改造工程）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456.00</w:t>
            </w:r>
          </w:p>
        </w:tc>
        <w:tc>
          <w:tcPr>
            <w:tcW w:w="2835" w:type="dxa"/>
            <w:vAlign w:val="center"/>
          </w:tcPr>
          <w:p>
            <w:pPr>
              <w:pStyle w:val="12"/>
            </w:pPr>
            <w:r>
              <w:t>其中：财政    资金</w:t>
            </w:r>
          </w:p>
        </w:tc>
        <w:tc>
          <w:tcPr>
            <w:tcW w:w="2551" w:type="dxa"/>
            <w:vAlign w:val="center"/>
          </w:tcPr>
          <w:p>
            <w:pPr>
              <w:pStyle w:val="14"/>
            </w:pPr>
            <w:r>
              <w:t>456.00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农村公路建设改造资金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1.完成2024年县道李大线大中修工程、2024年农村道路改造提升项目支付</w:t>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建设里程数</w:t>
            </w:r>
          </w:p>
        </w:tc>
        <w:tc>
          <w:tcPr>
            <w:tcW w:w="5386" w:type="dxa"/>
            <w:vAlign w:val="center"/>
          </w:tcPr>
          <w:p>
            <w:pPr>
              <w:pStyle w:val="14"/>
            </w:pPr>
            <w:r>
              <w:t>建设里程数</w:t>
            </w:r>
          </w:p>
        </w:tc>
        <w:tc>
          <w:tcPr>
            <w:tcW w:w="2268" w:type="dxa"/>
            <w:vAlign w:val="center"/>
          </w:tcPr>
          <w:p>
            <w:pPr>
              <w:pStyle w:val="14"/>
            </w:pPr>
            <w:r>
              <w:t>9.06公里</w:t>
            </w:r>
          </w:p>
        </w:tc>
        <w:tc>
          <w:tcPr>
            <w:tcW w:w="1276" w:type="dxa"/>
            <w:vAlign w:val="center"/>
          </w:tcPr>
          <w:p>
            <w:pPr>
              <w:pStyle w:val="14"/>
            </w:pPr>
            <w: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反映整体工程验收的质量合格情况</w:t>
            </w:r>
          </w:p>
        </w:tc>
        <w:tc>
          <w:tcPr>
            <w:tcW w:w="2268" w:type="dxa"/>
            <w:vAlign w:val="center"/>
          </w:tcPr>
          <w:p>
            <w:pPr>
              <w:pStyle w:val="14"/>
            </w:pPr>
            <w:r>
              <w:t>100比率</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工程完成时间</w:t>
            </w:r>
          </w:p>
        </w:tc>
        <w:tc>
          <w:tcPr>
            <w:tcW w:w="5386" w:type="dxa"/>
            <w:vAlign w:val="center"/>
          </w:tcPr>
          <w:p>
            <w:pPr>
              <w:pStyle w:val="14"/>
            </w:pPr>
            <w:r>
              <w:t>反映工程完成时间</w:t>
            </w:r>
          </w:p>
        </w:tc>
        <w:tc>
          <w:tcPr>
            <w:tcW w:w="2268" w:type="dxa"/>
            <w:vAlign w:val="center"/>
          </w:tcPr>
          <w:p>
            <w:pPr>
              <w:pStyle w:val="14"/>
            </w:pPr>
            <w:r>
              <w:t>2024年12月底前</w:t>
            </w:r>
          </w:p>
          <w:p>
            <w:pPr>
              <w:pStyle w:val="14"/>
            </w:pPr>
          </w:p>
        </w:tc>
        <w:tc>
          <w:tcPr>
            <w:tcW w:w="1276" w:type="dxa"/>
            <w:vAlign w:val="center"/>
          </w:tcPr>
          <w:p>
            <w:pPr>
              <w:pStyle w:val="14"/>
            </w:pPr>
            <w: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实际支出不超成本</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使用年限</w:t>
            </w:r>
          </w:p>
        </w:tc>
        <w:tc>
          <w:tcPr>
            <w:tcW w:w="5386" w:type="dxa"/>
            <w:vAlign w:val="center"/>
          </w:tcPr>
          <w:p>
            <w:pPr>
              <w:pStyle w:val="14"/>
            </w:pPr>
            <w:r>
              <w:t>使用年限</w:t>
            </w:r>
          </w:p>
        </w:tc>
        <w:tc>
          <w:tcPr>
            <w:tcW w:w="2268" w:type="dxa"/>
            <w:vAlign w:val="center"/>
          </w:tcPr>
          <w:p>
            <w:pPr>
              <w:pStyle w:val="14"/>
            </w:pPr>
            <w:r>
              <w:t>≥8年</w:t>
            </w:r>
          </w:p>
        </w:tc>
        <w:tc>
          <w:tcPr>
            <w:tcW w:w="1276" w:type="dxa"/>
            <w:vAlign w:val="center"/>
          </w:tcPr>
          <w:p>
            <w:pPr>
              <w:pStyle w:val="14"/>
            </w:pPr>
            <w:r>
              <w:t>设计文件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农村环境提升率</w:t>
            </w:r>
          </w:p>
        </w:tc>
        <w:tc>
          <w:tcPr>
            <w:tcW w:w="5386" w:type="dxa"/>
            <w:vAlign w:val="center"/>
          </w:tcPr>
          <w:p>
            <w:pPr>
              <w:pStyle w:val="14"/>
            </w:pPr>
            <w:r>
              <w:t>农村环境得到提升</w:t>
            </w:r>
          </w:p>
        </w:tc>
        <w:tc>
          <w:tcPr>
            <w:tcW w:w="2268" w:type="dxa"/>
            <w:vAlign w:val="center"/>
          </w:tcPr>
          <w:p>
            <w:pPr>
              <w:pStyle w:val="14"/>
            </w:pPr>
            <w:r>
              <w:t>100%</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2、成品油税费改革税收返还资金（农村公路养护工程）绩效目标表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13102824P00280510997K</w:t>
            </w:r>
          </w:p>
        </w:tc>
        <w:tc>
          <w:tcPr>
            <w:tcW w:w="2835" w:type="dxa"/>
            <w:vAlign w:val="center"/>
          </w:tcPr>
          <w:p>
            <w:pPr>
              <w:pStyle w:val="12"/>
            </w:pPr>
            <w:r>
              <w:t>项目名称</w:t>
            </w:r>
          </w:p>
        </w:tc>
        <w:tc>
          <w:tcPr>
            <w:tcW w:w="6094" w:type="dxa"/>
            <w:gridSpan w:val="3"/>
            <w:vAlign w:val="center"/>
          </w:tcPr>
          <w:p>
            <w:pPr>
              <w:pStyle w:val="14"/>
            </w:pPr>
            <w:r>
              <w:t>成品油税费改革税收返还资金（农村公路养护工程）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71.00</w:t>
            </w:r>
          </w:p>
        </w:tc>
        <w:tc>
          <w:tcPr>
            <w:tcW w:w="2835" w:type="dxa"/>
            <w:vAlign w:val="center"/>
          </w:tcPr>
          <w:p>
            <w:pPr>
              <w:pStyle w:val="12"/>
            </w:pPr>
            <w:r>
              <w:t>其中：财政    资金</w:t>
            </w:r>
          </w:p>
        </w:tc>
        <w:tc>
          <w:tcPr>
            <w:tcW w:w="2551" w:type="dxa"/>
            <w:vAlign w:val="center"/>
          </w:tcPr>
          <w:p>
            <w:pPr>
              <w:pStyle w:val="14"/>
            </w:pPr>
            <w:r>
              <w:t>71.00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农村公路养护工程资金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1.完成2024年农村道路改造提升项目建设费用支付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建设里程数</w:t>
            </w:r>
          </w:p>
        </w:tc>
        <w:tc>
          <w:tcPr>
            <w:tcW w:w="5386" w:type="dxa"/>
            <w:vAlign w:val="center"/>
          </w:tcPr>
          <w:p>
            <w:pPr>
              <w:pStyle w:val="14"/>
            </w:pPr>
            <w:r>
              <w:t>建设里程数</w:t>
            </w:r>
          </w:p>
        </w:tc>
        <w:tc>
          <w:tcPr>
            <w:tcW w:w="2268" w:type="dxa"/>
            <w:vAlign w:val="center"/>
          </w:tcPr>
          <w:p>
            <w:pPr>
              <w:pStyle w:val="14"/>
            </w:pPr>
            <w:r>
              <w:t>2.93公里</w:t>
            </w:r>
          </w:p>
        </w:tc>
        <w:tc>
          <w:tcPr>
            <w:tcW w:w="1276" w:type="dxa"/>
            <w:vAlign w:val="center"/>
          </w:tcPr>
          <w:p>
            <w:pPr>
              <w:pStyle w:val="14"/>
            </w:pPr>
            <w: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反映整体工程验收的质量合格情况</w:t>
            </w:r>
          </w:p>
        </w:tc>
        <w:tc>
          <w:tcPr>
            <w:tcW w:w="2268" w:type="dxa"/>
            <w:vAlign w:val="center"/>
          </w:tcPr>
          <w:p>
            <w:pPr>
              <w:pStyle w:val="14"/>
            </w:pPr>
            <w:r>
              <w:t>100比率</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工程完成时间</w:t>
            </w:r>
          </w:p>
        </w:tc>
        <w:tc>
          <w:tcPr>
            <w:tcW w:w="5386" w:type="dxa"/>
            <w:vAlign w:val="center"/>
          </w:tcPr>
          <w:p>
            <w:pPr>
              <w:pStyle w:val="14"/>
            </w:pPr>
            <w:r>
              <w:t>反映工程完成时间</w:t>
            </w:r>
          </w:p>
        </w:tc>
        <w:tc>
          <w:tcPr>
            <w:tcW w:w="2268" w:type="dxa"/>
            <w:vAlign w:val="center"/>
          </w:tcPr>
          <w:p>
            <w:pPr>
              <w:pStyle w:val="14"/>
            </w:pPr>
            <w:r>
              <w:t>2024年11月底前</w:t>
            </w:r>
          </w:p>
        </w:tc>
        <w:tc>
          <w:tcPr>
            <w:tcW w:w="1276" w:type="dxa"/>
            <w:vAlign w:val="center"/>
          </w:tcPr>
          <w:p>
            <w:pPr>
              <w:pStyle w:val="14"/>
            </w:pPr>
            <w: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2024年需支付工程款</w:t>
            </w:r>
          </w:p>
        </w:tc>
        <w:tc>
          <w:tcPr>
            <w:tcW w:w="5386" w:type="dxa"/>
            <w:vAlign w:val="center"/>
          </w:tcPr>
          <w:p>
            <w:pPr>
              <w:pStyle w:val="14"/>
            </w:pPr>
            <w:r>
              <w:t>2024年需支付工程款</w:t>
            </w:r>
          </w:p>
        </w:tc>
        <w:tc>
          <w:tcPr>
            <w:tcW w:w="2268" w:type="dxa"/>
            <w:vAlign w:val="center"/>
          </w:tcPr>
          <w:p>
            <w:pPr>
              <w:pStyle w:val="14"/>
            </w:pPr>
            <w:r>
              <w:t>≤71万元</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使用年限</w:t>
            </w:r>
          </w:p>
        </w:tc>
        <w:tc>
          <w:tcPr>
            <w:tcW w:w="5386" w:type="dxa"/>
            <w:vAlign w:val="center"/>
          </w:tcPr>
          <w:p>
            <w:pPr>
              <w:pStyle w:val="14"/>
            </w:pPr>
            <w:r>
              <w:t>使用年限</w:t>
            </w:r>
          </w:p>
        </w:tc>
        <w:tc>
          <w:tcPr>
            <w:tcW w:w="2268" w:type="dxa"/>
            <w:vAlign w:val="center"/>
          </w:tcPr>
          <w:p>
            <w:pPr>
              <w:pStyle w:val="14"/>
            </w:pPr>
            <w:r>
              <w:t>≥8年</w:t>
            </w:r>
          </w:p>
        </w:tc>
        <w:tc>
          <w:tcPr>
            <w:tcW w:w="1276" w:type="dxa"/>
            <w:vAlign w:val="center"/>
          </w:tcPr>
          <w:p>
            <w:pPr>
              <w:pStyle w:val="14"/>
            </w:pPr>
            <w:r>
              <w:t>设计文件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农村环境提升率</w:t>
            </w:r>
          </w:p>
        </w:tc>
        <w:tc>
          <w:tcPr>
            <w:tcW w:w="5386" w:type="dxa"/>
            <w:vAlign w:val="center"/>
          </w:tcPr>
          <w:p>
            <w:pPr>
              <w:pStyle w:val="14"/>
            </w:pPr>
            <w:r>
              <w:t>农村环境提升率</w:t>
            </w:r>
          </w:p>
        </w:tc>
        <w:tc>
          <w:tcPr>
            <w:tcW w:w="2268" w:type="dxa"/>
            <w:vAlign w:val="center"/>
          </w:tcPr>
          <w:p>
            <w:pPr>
              <w:pStyle w:val="14"/>
            </w:pPr>
            <w:r>
              <w:t>100%</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3、成品油税费改革税收返还资金（普通国省干线公路日常养护）绩效目标表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13102824P00280511000Y</w:t>
            </w:r>
          </w:p>
        </w:tc>
        <w:tc>
          <w:tcPr>
            <w:tcW w:w="2835" w:type="dxa"/>
            <w:vAlign w:val="center"/>
          </w:tcPr>
          <w:p>
            <w:pPr>
              <w:pStyle w:val="12"/>
            </w:pPr>
            <w:r>
              <w:t>项目名称</w:t>
            </w:r>
          </w:p>
        </w:tc>
        <w:tc>
          <w:tcPr>
            <w:tcW w:w="6094" w:type="dxa"/>
            <w:gridSpan w:val="3"/>
            <w:vAlign w:val="center"/>
          </w:tcPr>
          <w:p>
            <w:pPr>
              <w:pStyle w:val="14"/>
            </w:pPr>
            <w:r>
              <w:t>成品油税费改革税收返还资金（普通国省干线公路日常养护）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191.00</w:t>
            </w:r>
          </w:p>
        </w:tc>
        <w:tc>
          <w:tcPr>
            <w:tcW w:w="2835" w:type="dxa"/>
            <w:vAlign w:val="center"/>
          </w:tcPr>
          <w:p>
            <w:pPr>
              <w:pStyle w:val="12"/>
            </w:pPr>
            <w:r>
              <w:t>其中：财政    资金</w:t>
            </w:r>
          </w:p>
        </w:tc>
        <w:tc>
          <w:tcPr>
            <w:tcW w:w="2551" w:type="dxa"/>
            <w:vAlign w:val="center"/>
          </w:tcPr>
          <w:p>
            <w:pPr>
              <w:pStyle w:val="14"/>
            </w:pPr>
            <w:r>
              <w:t>191.00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国省干线日常养护经费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1.完成灾害性损害以及公路沿线设施经常性维护保养和修补轻微损坏部分维修，实现公路及其设施的完好状态，保障行车安全舒适、畅通，延长公路的使用年限。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公路养护</w:t>
            </w:r>
          </w:p>
          <w:p>
            <w:pPr>
              <w:pStyle w:val="14"/>
            </w:pPr>
            <w:r>
              <w:t>长度</w:t>
            </w:r>
          </w:p>
        </w:tc>
        <w:tc>
          <w:tcPr>
            <w:tcW w:w="5386" w:type="dxa"/>
            <w:vAlign w:val="center"/>
          </w:tcPr>
          <w:p>
            <w:pPr>
              <w:pStyle w:val="14"/>
            </w:pPr>
            <w:r>
              <w:t>实际完成普</w:t>
            </w:r>
          </w:p>
          <w:p>
            <w:pPr>
              <w:pStyle w:val="14"/>
            </w:pPr>
            <w:r>
              <w:t>通干线公路养护长度30.59</w:t>
            </w:r>
          </w:p>
        </w:tc>
        <w:tc>
          <w:tcPr>
            <w:tcW w:w="2268" w:type="dxa"/>
            <w:vAlign w:val="center"/>
          </w:tcPr>
          <w:p>
            <w:pPr>
              <w:pStyle w:val="14"/>
            </w:pPr>
            <w:r>
              <w:t>30.59公里</w:t>
            </w:r>
          </w:p>
        </w:tc>
        <w:tc>
          <w:tcPr>
            <w:tcW w:w="1276" w:type="dxa"/>
            <w:vAlign w:val="center"/>
          </w:tcPr>
          <w:p>
            <w:pPr>
              <w:pStyle w:val="14"/>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达标率</w:t>
            </w:r>
          </w:p>
        </w:tc>
        <w:tc>
          <w:tcPr>
            <w:tcW w:w="5386" w:type="dxa"/>
            <w:vAlign w:val="center"/>
          </w:tcPr>
          <w:p>
            <w:pPr>
              <w:pStyle w:val="14"/>
            </w:pPr>
            <w:r>
              <w:t>公路养护工</w:t>
            </w:r>
          </w:p>
          <w:p>
            <w:pPr>
              <w:pStyle w:val="14"/>
            </w:pPr>
            <w:r>
              <w:t>程达标率</w:t>
            </w:r>
          </w:p>
        </w:tc>
        <w:tc>
          <w:tcPr>
            <w:tcW w:w="2268" w:type="dxa"/>
            <w:vAlign w:val="center"/>
          </w:tcPr>
          <w:p>
            <w:pPr>
              <w:pStyle w:val="14"/>
            </w:pPr>
            <w:r>
              <w:t>≥98%</w:t>
            </w:r>
          </w:p>
        </w:tc>
        <w:tc>
          <w:tcPr>
            <w:tcW w:w="1276" w:type="dxa"/>
            <w:vAlign w:val="center"/>
          </w:tcPr>
          <w:p>
            <w:pPr>
              <w:pStyle w:val="14"/>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实施时间</w:t>
            </w:r>
          </w:p>
        </w:tc>
        <w:tc>
          <w:tcPr>
            <w:tcW w:w="5386" w:type="dxa"/>
            <w:vAlign w:val="center"/>
          </w:tcPr>
          <w:p>
            <w:pPr>
              <w:pStyle w:val="14"/>
            </w:pPr>
            <w:r>
              <w:t>年度养护工</w:t>
            </w:r>
          </w:p>
          <w:p>
            <w:pPr>
              <w:pStyle w:val="14"/>
            </w:pPr>
            <w:r>
              <w:t>作实施时间</w:t>
            </w:r>
          </w:p>
        </w:tc>
        <w:tc>
          <w:tcPr>
            <w:tcW w:w="2268" w:type="dxa"/>
            <w:vAlign w:val="center"/>
          </w:tcPr>
          <w:p>
            <w:pPr>
              <w:pStyle w:val="14"/>
            </w:pPr>
            <w:r>
              <w:t>1年</w:t>
            </w:r>
          </w:p>
        </w:tc>
        <w:tc>
          <w:tcPr>
            <w:tcW w:w="1276" w:type="dxa"/>
            <w:vAlign w:val="center"/>
          </w:tcPr>
          <w:p>
            <w:pPr>
              <w:pStyle w:val="14"/>
            </w:pPr>
            <w:r>
              <w:t>《廊坊市普</w:t>
            </w:r>
          </w:p>
          <w:p>
            <w:pPr>
              <w:pStyle w:val="14"/>
            </w:pPr>
            <w:r>
              <w:t>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超预算比例</w:t>
            </w:r>
          </w:p>
        </w:tc>
        <w:tc>
          <w:tcPr>
            <w:tcW w:w="5386" w:type="dxa"/>
            <w:vAlign w:val="center"/>
          </w:tcPr>
          <w:p>
            <w:pPr>
              <w:pStyle w:val="14"/>
            </w:pPr>
            <w:r>
              <w:t>（实际支付资金-</w:t>
            </w:r>
          </w:p>
          <w:p>
            <w:pPr>
              <w:pStyle w:val="14"/>
            </w:pPr>
            <w:r>
              <w:t>预算资金）/预算资金*100%</w:t>
            </w:r>
          </w:p>
        </w:tc>
        <w:tc>
          <w:tcPr>
            <w:tcW w:w="2268" w:type="dxa"/>
            <w:vAlign w:val="center"/>
          </w:tcPr>
          <w:p>
            <w:pPr>
              <w:pStyle w:val="14"/>
            </w:pPr>
            <w:r>
              <w:t>0.1%</w:t>
            </w:r>
          </w:p>
        </w:tc>
        <w:tc>
          <w:tcPr>
            <w:tcW w:w="1276" w:type="dxa"/>
            <w:vAlign w:val="center"/>
          </w:tcPr>
          <w:p>
            <w:pPr>
              <w:pStyle w:val="14"/>
            </w:pPr>
            <w:r>
              <w:t>历史数据或</w:t>
            </w:r>
          </w:p>
          <w:p>
            <w:pPr>
              <w:pStyle w:val="14"/>
            </w:pPr>
            <w:r>
              <w:t>指标文件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正常通行率</w:t>
            </w:r>
          </w:p>
        </w:tc>
        <w:tc>
          <w:tcPr>
            <w:tcW w:w="5386" w:type="dxa"/>
            <w:vAlign w:val="center"/>
          </w:tcPr>
          <w:p>
            <w:pPr>
              <w:pStyle w:val="14"/>
            </w:pPr>
            <w:r>
              <w:t>安全畅通天</w:t>
            </w:r>
          </w:p>
          <w:p>
            <w:pPr>
              <w:pStyle w:val="14"/>
            </w:pPr>
            <w:r>
              <w:t>数/365天</w:t>
            </w:r>
          </w:p>
        </w:tc>
        <w:tc>
          <w:tcPr>
            <w:tcW w:w="2268" w:type="dxa"/>
            <w:vAlign w:val="center"/>
          </w:tcPr>
          <w:p>
            <w:pPr>
              <w:pStyle w:val="14"/>
            </w:pPr>
            <w:r>
              <w:t>100%</w:t>
            </w:r>
          </w:p>
        </w:tc>
        <w:tc>
          <w:tcPr>
            <w:tcW w:w="1276" w:type="dxa"/>
            <w:vAlign w:val="center"/>
          </w:tcPr>
          <w:p>
            <w:pPr>
              <w:pStyle w:val="14"/>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w:t>
            </w:r>
          </w:p>
          <w:p>
            <w:pPr>
              <w:pStyle w:val="14"/>
            </w:pPr>
            <w:r>
              <w:t>满意度</w:t>
            </w:r>
          </w:p>
        </w:tc>
        <w:tc>
          <w:tcPr>
            <w:tcW w:w="5386" w:type="dxa"/>
            <w:vAlign w:val="center"/>
          </w:tcPr>
          <w:p>
            <w:pPr>
              <w:pStyle w:val="14"/>
            </w:pPr>
            <w:r>
              <w:t>调查中满意</w:t>
            </w:r>
          </w:p>
          <w:p>
            <w:pPr>
              <w:pStyle w:val="14"/>
            </w:pPr>
            <w:r>
              <w:t>和比较满意的社会群众占调查总人数的比率</w:t>
            </w:r>
          </w:p>
        </w:tc>
        <w:tc>
          <w:tcPr>
            <w:tcW w:w="2268" w:type="dxa"/>
            <w:vAlign w:val="center"/>
          </w:tcPr>
          <w:p>
            <w:pPr>
              <w:pStyle w:val="14"/>
            </w:pPr>
            <w:r>
              <w:t>≥90%</w:t>
            </w:r>
          </w:p>
        </w:tc>
        <w:tc>
          <w:tcPr>
            <w:tcW w:w="1276" w:type="dxa"/>
            <w:vAlign w:val="center"/>
          </w:tcPr>
          <w:p>
            <w:pPr>
              <w:pStyle w:val="14"/>
            </w:pPr>
            <w:r>
              <w:t>行业标准问卷调查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4、关于提前下达2024年农村公路建设养护发展专项资金的通知冀财建[2023]270号（养护工程补助）绩效目标表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13102824P00281410027E</w:t>
            </w:r>
          </w:p>
        </w:tc>
        <w:tc>
          <w:tcPr>
            <w:tcW w:w="2835" w:type="dxa"/>
            <w:vAlign w:val="center"/>
          </w:tcPr>
          <w:p>
            <w:pPr>
              <w:pStyle w:val="12"/>
            </w:pPr>
            <w:r>
              <w:t>项目名称</w:t>
            </w:r>
          </w:p>
        </w:tc>
        <w:tc>
          <w:tcPr>
            <w:tcW w:w="6094" w:type="dxa"/>
            <w:gridSpan w:val="3"/>
            <w:vAlign w:val="center"/>
          </w:tcPr>
          <w:p>
            <w:pPr>
              <w:pStyle w:val="14"/>
            </w:pPr>
            <w:r>
              <w:t>关于提前下达2024年农村公路建设养护发展专项资金的通知冀财建[2023]270号（养护工程补助）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70.00</w:t>
            </w:r>
          </w:p>
        </w:tc>
        <w:tc>
          <w:tcPr>
            <w:tcW w:w="2835" w:type="dxa"/>
            <w:vAlign w:val="center"/>
          </w:tcPr>
          <w:p>
            <w:pPr>
              <w:pStyle w:val="12"/>
            </w:pPr>
            <w:r>
              <w:t>其中：财政    资金</w:t>
            </w:r>
          </w:p>
        </w:tc>
        <w:tc>
          <w:tcPr>
            <w:tcW w:w="2551" w:type="dxa"/>
            <w:vAlign w:val="center"/>
          </w:tcPr>
          <w:p>
            <w:pPr>
              <w:pStyle w:val="14"/>
            </w:pPr>
            <w:r>
              <w:t>70.00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农村公路养护工程补助资金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1.完成2024年农村道路改造提升项目建设费用支付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建设里程数</w:t>
            </w:r>
          </w:p>
        </w:tc>
        <w:tc>
          <w:tcPr>
            <w:tcW w:w="5386" w:type="dxa"/>
            <w:vAlign w:val="center"/>
          </w:tcPr>
          <w:p>
            <w:pPr>
              <w:pStyle w:val="14"/>
            </w:pPr>
            <w:r>
              <w:t>建设里程数</w:t>
            </w:r>
          </w:p>
        </w:tc>
        <w:tc>
          <w:tcPr>
            <w:tcW w:w="2268" w:type="dxa"/>
            <w:vAlign w:val="center"/>
          </w:tcPr>
          <w:p>
            <w:pPr>
              <w:pStyle w:val="14"/>
            </w:pPr>
            <w:r>
              <w:t>2.93公里</w:t>
            </w:r>
          </w:p>
        </w:tc>
        <w:tc>
          <w:tcPr>
            <w:tcW w:w="1276" w:type="dxa"/>
            <w:vAlign w:val="center"/>
          </w:tcPr>
          <w:p>
            <w:pPr>
              <w:pStyle w:val="14"/>
            </w:pPr>
            <w: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反映整体工程验收的质量合格情况</w:t>
            </w:r>
          </w:p>
        </w:tc>
        <w:tc>
          <w:tcPr>
            <w:tcW w:w="2268" w:type="dxa"/>
            <w:vAlign w:val="center"/>
          </w:tcPr>
          <w:p>
            <w:pPr>
              <w:pStyle w:val="14"/>
            </w:pPr>
            <w:r>
              <w:t>100比率</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工程完成时间</w:t>
            </w:r>
          </w:p>
        </w:tc>
        <w:tc>
          <w:tcPr>
            <w:tcW w:w="5386" w:type="dxa"/>
            <w:vAlign w:val="center"/>
          </w:tcPr>
          <w:p>
            <w:pPr>
              <w:pStyle w:val="14"/>
            </w:pPr>
            <w:r>
              <w:t>反映工程完成时间</w:t>
            </w:r>
          </w:p>
        </w:tc>
        <w:tc>
          <w:tcPr>
            <w:tcW w:w="2268" w:type="dxa"/>
            <w:vAlign w:val="center"/>
          </w:tcPr>
          <w:p>
            <w:pPr>
              <w:pStyle w:val="14"/>
            </w:pPr>
            <w:r>
              <w:t>2024年11月底前</w:t>
            </w:r>
          </w:p>
          <w:p>
            <w:pPr>
              <w:pStyle w:val="14"/>
            </w:pPr>
          </w:p>
        </w:tc>
        <w:tc>
          <w:tcPr>
            <w:tcW w:w="1276" w:type="dxa"/>
            <w:vAlign w:val="center"/>
          </w:tcPr>
          <w:p>
            <w:pPr>
              <w:pStyle w:val="14"/>
            </w:pPr>
            <w: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2024年需支付工程款</w:t>
            </w:r>
          </w:p>
        </w:tc>
        <w:tc>
          <w:tcPr>
            <w:tcW w:w="5386" w:type="dxa"/>
            <w:vAlign w:val="center"/>
          </w:tcPr>
          <w:p>
            <w:pPr>
              <w:pStyle w:val="14"/>
            </w:pPr>
            <w:r>
              <w:t>2024年需支付工程款</w:t>
            </w:r>
          </w:p>
        </w:tc>
        <w:tc>
          <w:tcPr>
            <w:tcW w:w="2268" w:type="dxa"/>
            <w:vAlign w:val="center"/>
          </w:tcPr>
          <w:p>
            <w:pPr>
              <w:pStyle w:val="14"/>
            </w:pPr>
            <w:r>
              <w:t>70万元</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使用年限</w:t>
            </w:r>
          </w:p>
        </w:tc>
        <w:tc>
          <w:tcPr>
            <w:tcW w:w="5386" w:type="dxa"/>
            <w:vAlign w:val="center"/>
          </w:tcPr>
          <w:p>
            <w:pPr>
              <w:pStyle w:val="14"/>
            </w:pPr>
            <w:r>
              <w:t>使用年限</w:t>
            </w:r>
          </w:p>
        </w:tc>
        <w:tc>
          <w:tcPr>
            <w:tcW w:w="2268" w:type="dxa"/>
            <w:vAlign w:val="center"/>
          </w:tcPr>
          <w:p>
            <w:pPr>
              <w:pStyle w:val="14"/>
            </w:pPr>
            <w:r>
              <w:t>≥8年</w:t>
            </w:r>
          </w:p>
        </w:tc>
        <w:tc>
          <w:tcPr>
            <w:tcW w:w="1276" w:type="dxa"/>
            <w:vAlign w:val="center"/>
          </w:tcPr>
          <w:p>
            <w:pPr>
              <w:pStyle w:val="14"/>
            </w:pPr>
            <w:r>
              <w:t>设计文件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正常通行率</w:t>
            </w:r>
          </w:p>
        </w:tc>
        <w:tc>
          <w:tcPr>
            <w:tcW w:w="5386" w:type="dxa"/>
            <w:vAlign w:val="center"/>
          </w:tcPr>
          <w:p>
            <w:pPr>
              <w:pStyle w:val="14"/>
            </w:pPr>
            <w:r>
              <w:t>农村公路正常通行</w:t>
            </w:r>
          </w:p>
        </w:tc>
        <w:tc>
          <w:tcPr>
            <w:tcW w:w="2268" w:type="dxa"/>
            <w:vAlign w:val="center"/>
          </w:tcPr>
          <w:p>
            <w:pPr>
              <w:pStyle w:val="14"/>
            </w:pPr>
            <w:r>
              <w:t>100%</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5、关于提前下达2024年农村公路建设养护发展专项资金的通知冀财建【2023】270号（日常养护补助）绩效目标表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13102824P00343610459U</w:t>
            </w:r>
          </w:p>
        </w:tc>
        <w:tc>
          <w:tcPr>
            <w:tcW w:w="2835" w:type="dxa"/>
            <w:vAlign w:val="center"/>
          </w:tcPr>
          <w:p>
            <w:pPr>
              <w:pStyle w:val="12"/>
            </w:pPr>
            <w:r>
              <w:t>项目名称</w:t>
            </w:r>
          </w:p>
        </w:tc>
        <w:tc>
          <w:tcPr>
            <w:tcW w:w="6094" w:type="dxa"/>
            <w:gridSpan w:val="3"/>
            <w:vAlign w:val="center"/>
          </w:tcPr>
          <w:p>
            <w:pPr>
              <w:pStyle w:val="14"/>
            </w:pPr>
            <w:r>
              <w:t>关于提前下达2024年农村公路建设养护发展专项资金的通知冀财建【2023】270号（日常养护补助）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19.00</w:t>
            </w:r>
          </w:p>
        </w:tc>
        <w:tc>
          <w:tcPr>
            <w:tcW w:w="2835" w:type="dxa"/>
            <w:vAlign w:val="center"/>
          </w:tcPr>
          <w:p>
            <w:pPr>
              <w:pStyle w:val="12"/>
            </w:pPr>
            <w:r>
              <w:t>其中：财政    资金</w:t>
            </w:r>
          </w:p>
        </w:tc>
        <w:tc>
          <w:tcPr>
            <w:tcW w:w="2551" w:type="dxa"/>
            <w:vAlign w:val="center"/>
          </w:tcPr>
          <w:p>
            <w:pPr>
              <w:pStyle w:val="14"/>
            </w:pPr>
            <w:r>
              <w:t>19.00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农村公路日常养护经费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2024全县列养的58.243公里县、乡及重点道路日常养护保洁和大气污染防治工作。通过实施以机械化清扫、保洁、洒水降尘为主，人工清扫保洁为辅的养护模式，提升道路养护质量，减少道路二次扬尘污染大气，营造良好道路通行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日常养护里程</w:t>
            </w:r>
          </w:p>
        </w:tc>
        <w:tc>
          <w:tcPr>
            <w:tcW w:w="5386" w:type="dxa"/>
            <w:vAlign w:val="center"/>
          </w:tcPr>
          <w:p>
            <w:pPr>
              <w:pStyle w:val="14"/>
            </w:pPr>
            <w:r>
              <w:t>对列养58.243公里农村公路实施日常养护清扫保洁和大气污染防治</w:t>
            </w:r>
          </w:p>
        </w:tc>
        <w:tc>
          <w:tcPr>
            <w:tcW w:w="2268" w:type="dxa"/>
            <w:vAlign w:val="center"/>
          </w:tcPr>
          <w:p>
            <w:pPr>
              <w:pStyle w:val="14"/>
            </w:pPr>
            <w:r>
              <w:t>58.24公里</w:t>
            </w:r>
          </w:p>
        </w:tc>
        <w:tc>
          <w:tcPr>
            <w:tcW w:w="1276" w:type="dxa"/>
            <w:vAlign w:val="center"/>
          </w:tcPr>
          <w:p>
            <w:pPr>
              <w:pStyle w:val="14"/>
            </w:pPr>
            <w:r>
              <w:t>根据列养县乡及重点道路里程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每天养护完成时间</w:t>
            </w:r>
          </w:p>
        </w:tc>
        <w:tc>
          <w:tcPr>
            <w:tcW w:w="5386" w:type="dxa"/>
            <w:vAlign w:val="center"/>
          </w:tcPr>
          <w:p>
            <w:pPr>
              <w:pStyle w:val="14"/>
            </w:pPr>
            <w:r>
              <w:t>每天安排人员、设备实施道路日常养护保洁</w:t>
            </w:r>
          </w:p>
        </w:tc>
        <w:tc>
          <w:tcPr>
            <w:tcW w:w="2268" w:type="dxa"/>
            <w:vAlign w:val="center"/>
          </w:tcPr>
          <w:p>
            <w:pPr>
              <w:pStyle w:val="14"/>
            </w:pPr>
            <w:r>
              <w:t>≥8小时</w:t>
            </w:r>
          </w:p>
        </w:tc>
        <w:tc>
          <w:tcPr>
            <w:tcW w:w="1276" w:type="dxa"/>
            <w:vAlign w:val="center"/>
          </w:tcPr>
          <w:p>
            <w:pPr>
              <w:pStyle w:val="14"/>
            </w:pPr>
            <w:r>
              <w:t>《农村公路养护技术规范》（JTG/T5190—2019）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路面清扫整洁率</w:t>
            </w:r>
          </w:p>
        </w:tc>
        <w:tc>
          <w:tcPr>
            <w:tcW w:w="5386" w:type="dxa"/>
            <w:vAlign w:val="center"/>
          </w:tcPr>
          <w:p>
            <w:pPr>
              <w:pStyle w:val="14"/>
            </w:pPr>
            <w:r>
              <w:t>路面整洁占列养道路比例</w:t>
            </w:r>
          </w:p>
        </w:tc>
        <w:tc>
          <w:tcPr>
            <w:tcW w:w="2268" w:type="dxa"/>
            <w:vAlign w:val="center"/>
          </w:tcPr>
          <w:p>
            <w:pPr>
              <w:pStyle w:val="14"/>
            </w:pPr>
            <w:r>
              <w:t>≥90%</w:t>
            </w:r>
          </w:p>
        </w:tc>
        <w:tc>
          <w:tcPr>
            <w:tcW w:w="1276" w:type="dxa"/>
            <w:vAlign w:val="center"/>
          </w:tcPr>
          <w:p>
            <w:pPr>
              <w:pStyle w:val="14"/>
            </w:pPr>
            <w:r>
              <w:t>《农村公路养护技术规范》（JTG/T 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养护工作业达标率</w:t>
            </w:r>
          </w:p>
        </w:tc>
        <w:tc>
          <w:tcPr>
            <w:tcW w:w="5386" w:type="dxa"/>
            <w:vAlign w:val="center"/>
          </w:tcPr>
          <w:p>
            <w:pPr>
              <w:pStyle w:val="14"/>
            </w:pPr>
            <w:r>
              <w:t>公路养护工作符合相关规范要求</w:t>
            </w:r>
          </w:p>
        </w:tc>
        <w:tc>
          <w:tcPr>
            <w:tcW w:w="2268" w:type="dxa"/>
            <w:vAlign w:val="center"/>
          </w:tcPr>
          <w:p>
            <w:pPr>
              <w:pStyle w:val="14"/>
            </w:pPr>
            <w:r>
              <w:t>100%</w:t>
            </w:r>
          </w:p>
        </w:tc>
        <w:tc>
          <w:tcPr>
            <w:tcW w:w="1276" w:type="dxa"/>
            <w:vAlign w:val="center"/>
          </w:tcPr>
          <w:p>
            <w:pPr>
              <w:pStyle w:val="14"/>
            </w:pPr>
            <w:r>
              <w:t>养护技术规范》（JTG/T5190—2019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农村公路养护及时性</w:t>
            </w:r>
          </w:p>
        </w:tc>
        <w:tc>
          <w:tcPr>
            <w:tcW w:w="5386" w:type="dxa"/>
            <w:vAlign w:val="center"/>
          </w:tcPr>
          <w:p>
            <w:pPr>
              <w:pStyle w:val="14"/>
            </w:pPr>
            <w:r>
              <w:t>农村公路养护工作在规定时间内完成</w:t>
            </w:r>
          </w:p>
        </w:tc>
        <w:tc>
          <w:tcPr>
            <w:tcW w:w="2268" w:type="dxa"/>
            <w:vAlign w:val="center"/>
          </w:tcPr>
          <w:p>
            <w:pPr>
              <w:pStyle w:val="14"/>
            </w:pPr>
            <w:r>
              <w:t>100及时</w:t>
            </w:r>
          </w:p>
        </w:tc>
        <w:tc>
          <w:tcPr>
            <w:tcW w:w="1276" w:type="dxa"/>
            <w:vAlign w:val="center"/>
          </w:tcPr>
          <w:p>
            <w:pPr>
              <w:pStyle w:val="14"/>
            </w:pPr>
            <w:r>
              <w:t>《农村公路养护技术规范》（JTG/T 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成本偏离率</w:t>
            </w:r>
          </w:p>
        </w:tc>
        <w:tc>
          <w:tcPr>
            <w:tcW w:w="5386" w:type="dxa"/>
            <w:vAlign w:val="center"/>
          </w:tcPr>
          <w:p>
            <w:pPr>
              <w:pStyle w:val="14"/>
            </w:pPr>
            <w:r>
              <w:t>（实际支付资金-预算资金）/预算资金*100%</w:t>
            </w:r>
          </w:p>
        </w:tc>
        <w:tc>
          <w:tcPr>
            <w:tcW w:w="2268" w:type="dxa"/>
            <w:vAlign w:val="center"/>
          </w:tcPr>
          <w:p>
            <w:pPr>
              <w:pStyle w:val="14"/>
            </w:pPr>
            <w:r>
              <w:t>≤10%</w:t>
            </w:r>
          </w:p>
        </w:tc>
        <w:tc>
          <w:tcPr>
            <w:tcW w:w="1276" w:type="dxa"/>
            <w:vAlign w:val="center"/>
          </w:tcPr>
          <w:p>
            <w:pPr>
              <w:pStyle w:val="14"/>
            </w:pPr>
            <w:r>
              <w:t>河北省建筑工程预算书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提高路面整洁效果</w:t>
            </w:r>
          </w:p>
        </w:tc>
        <w:tc>
          <w:tcPr>
            <w:tcW w:w="5386" w:type="dxa"/>
            <w:vAlign w:val="center"/>
          </w:tcPr>
          <w:p>
            <w:pPr>
              <w:pStyle w:val="14"/>
            </w:pPr>
            <w:r>
              <w:t>项目的实施较上年对路面干净整洁的提升效果显著</w:t>
            </w:r>
          </w:p>
        </w:tc>
        <w:tc>
          <w:tcPr>
            <w:tcW w:w="2268" w:type="dxa"/>
            <w:vAlign w:val="center"/>
          </w:tcPr>
          <w:p>
            <w:pPr>
              <w:pStyle w:val="14"/>
            </w:pPr>
            <w:r>
              <w:t>≥10%</w:t>
            </w:r>
          </w:p>
        </w:tc>
        <w:tc>
          <w:tcPr>
            <w:tcW w:w="1276" w:type="dxa"/>
            <w:vAlign w:val="center"/>
          </w:tcPr>
          <w:p>
            <w:pPr>
              <w:pStyle w:val="14"/>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道路扬尘下降率</w:t>
            </w:r>
          </w:p>
        </w:tc>
        <w:tc>
          <w:tcPr>
            <w:tcW w:w="5386" w:type="dxa"/>
            <w:vAlign w:val="center"/>
          </w:tcPr>
          <w:p>
            <w:pPr>
              <w:pStyle w:val="14"/>
            </w:pPr>
            <w:r>
              <w:t>路面清扫、洒水降尘，防止二次扬尘污染空气下降比率</w:t>
            </w:r>
          </w:p>
        </w:tc>
        <w:tc>
          <w:tcPr>
            <w:tcW w:w="2268" w:type="dxa"/>
            <w:vAlign w:val="center"/>
          </w:tcPr>
          <w:p>
            <w:pPr>
              <w:pStyle w:val="14"/>
            </w:pPr>
            <w:r>
              <w:t>≥90%</w:t>
            </w:r>
          </w:p>
        </w:tc>
        <w:tc>
          <w:tcPr>
            <w:tcW w:w="1276" w:type="dxa"/>
            <w:vAlign w:val="center"/>
          </w:tcPr>
          <w:p>
            <w:pPr>
              <w:pStyle w:val="14"/>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农村公路日常养护清洁维持时限</w:t>
            </w:r>
          </w:p>
        </w:tc>
        <w:tc>
          <w:tcPr>
            <w:tcW w:w="5386" w:type="dxa"/>
            <w:vAlign w:val="center"/>
          </w:tcPr>
          <w:p>
            <w:pPr>
              <w:pStyle w:val="14"/>
            </w:pPr>
            <w:r>
              <w:t>及时解决农村公路日常养护清洁，持续性维持道路清洁</w:t>
            </w:r>
          </w:p>
        </w:tc>
        <w:tc>
          <w:tcPr>
            <w:tcW w:w="2268" w:type="dxa"/>
            <w:vAlign w:val="center"/>
          </w:tcPr>
          <w:p>
            <w:pPr>
              <w:pStyle w:val="14"/>
            </w:pPr>
            <w:r>
              <w:t>1年</w:t>
            </w:r>
          </w:p>
        </w:tc>
        <w:tc>
          <w:tcPr>
            <w:tcW w:w="1276" w:type="dxa"/>
            <w:vAlign w:val="center"/>
          </w:tcPr>
          <w:p>
            <w:pPr>
              <w:pStyle w:val="14"/>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沿线群众满意度</w:t>
            </w:r>
          </w:p>
        </w:tc>
        <w:tc>
          <w:tcPr>
            <w:tcW w:w="5386" w:type="dxa"/>
            <w:vAlign w:val="center"/>
          </w:tcPr>
          <w:p>
            <w:pPr>
              <w:pStyle w:val="14"/>
            </w:pPr>
            <w:r>
              <w:t>群众对日常养护保洁作业综合满意度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6、关于提前下达2024年农村客运补贴、城市交通发展奖励资金预算的通知（冀财建【2023】259号）城市交通发展奖励资金绩效目标表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13102824P00280510933X</w:t>
            </w:r>
          </w:p>
        </w:tc>
        <w:tc>
          <w:tcPr>
            <w:tcW w:w="2835" w:type="dxa"/>
            <w:vAlign w:val="center"/>
          </w:tcPr>
          <w:p>
            <w:pPr>
              <w:pStyle w:val="12"/>
            </w:pPr>
            <w:r>
              <w:t>项目名称</w:t>
            </w:r>
          </w:p>
        </w:tc>
        <w:tc>
          <w:tcPr>
            <w:tcW w:w="6094" w:type="dxa"/>
            <w:gridSpan w:val="3"/>
            <w:vAlign w:val="center"/>
          </w:tcPr>
          <w:p>
            <w:pPr>
              <w:pStyle w:val="14"/>
            </w:pPr>
            <w:r>
              <w:t>关于提前下达2024年农村客运补贴、城市交通发展奖励资金预算的通知（冀财建【2023】259号）城市交通发展奖励资金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194.97</w:t>
            </w:r>
          </w:p>
        </w:tc>
        <w:tc>
          <w:tcPr>
            <w:tcW w:w="2835" w:type="dxa"/>
            <w:vAlign w:val="center"/>
          </w:tcPr>
          <w:p>
            <w:pPr>
              <w:pStyle w:val="12"/>
            </w:pPr>
            <w:r>
              <w:t>其中：财政    资金</w:t>
            </w:r>
          </w:p>
        </w:tc>
        <w:tc>
          <w:tcPr>
            <w:tcW w:w="2551" w:type="dxa"/>
            <w:vAlign w:val="center"/>
          </w:tcPr>
          <w:p>
            <w:pPr>
              <w:pStyle w:val="14"/>
            </w:pPr>
            <w:r>
              <w:t>194.97</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管理运营补贴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1.支持本省国家公交都市建设和绿色货运配送示范城市建设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巡游出租车运营补贴月数不少于规定数</w:t>
            </w:r>
          </w:p>
        </w:tc>
        <w:tc>
          <w:tcPr>
            <w:tcW w:w="5386" w:type="dxa"/>
            <w:vAlign w:val="center"/>
          </w:tcPr>
          <w:p>
            <w:pPr>
              <w:pStyle w:val="14"/>
            </w:pPr>
            <w:r>
              <w:t>巡游出租车运营补贴月数不少于规定数</w:t>
            </w:r>
          </w:p>
        </w:tc>
        <w:tc>
          <w:tcPr>
            <w:tcW w:w="2268" w:type="dxa"/>
            <w:vAlign w:val="center"/>
          </w:tcPr>
          <w:p>
            <w:pPr>
              <w:pStyle w:val="14"/>
            </w:pPr>
            <w:r>
              <w:t>≥12月</w:t>
            </w:r>
          </w:p>
        </w:tc>
        <w:tc>
          <w:tcPr>
            <w:tcW w:w="1276" w:type="dxa"/>
            <w:vAlign w:val="center"/>
          </w:tcPr>
          <w:p>
            <w:pPr>
              <w:pStyle w:val="14"/>
            </w:pPr>
            <w:r>
              <w:t>河北省财政厅《关于提前下达2024年农村客运补贴、城市交通发展奖励资金预算的通知》（冀财建【2023】259号）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新能源公交车运营补贴的标台公里数不少于规定数</w:t>
            </w:r>
          </w:p>
        </w:tc>
        <w:tc>
          <w:tcPr>
            <w:tcW w:w="5386" w:type="dxa"/>
            <w:vAlign w:val="center"/>
          </w:tcPr>
          <w:p>
            <w:pPr>
              <w:pStyle w:val="14"/>
            </w:pPr>
            <w:r>
              <w:t>新能源公交车运营补贴的标台公里数不少于规定数</w:t>
            </w:r>
          </w:p>
        </w:tc>
        <w:tc>
          <w:tcPr>
            <w:tcW w:w="2268" w:type="dxa"/>
            <w:vAlign w:val="center"/>
          </w:tcPr>
          <w:p>
            <w:pPr>
              <w:pStyle w:val="14"/>
            </w:pPr>
            <w:r>
              <w:t>≥241.48万公里</w:t>
            </w:r>
          </w:p>
        </w:tc>
        <w:tc>
          <w:tcPr>
            <w:tcW w:w="1276" w:type="dxa"/>
            <w:vAlign w:val="center"/>
          </w:tcPr>
          <w:p>
            <w:pPr>
              <w:pStyle w:val="14"/>
            </w:pPr>
            <w:r>
              <w:t>河北省财政厅《关于提前下达2024年农村客运补贴、城市交通发展奖励资金预算的通知》（冀财建【2023】259号）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资金使用合规性</w:t>
            </w:r>
          </w:p>
        </w:tc>
        <w:tc>
          <w:tcPr>
            <w:tcW w:w="5386" w:type="dxa"/>
            <w:vAlign w:val="center"/>
          </w:tcPr>
          <w:p>
            <w:pPr>
              <w:pStyle w:val="14"/>
            </w:pPr>
            <w:r>
              <w:t>资金使用合规性</w:t>
            </w:r>
          </w:p>
        </w:tc>
        <w:tc>
          <w:tcPr>
            <w:tcW w:w="2268" w:type="dxa"/>
            <w:vAlign w:val="center"/>
          </w:tcPr>
          <w:p>
            <w:pPr>
              <w:pStyle w:val="14"/>
            </w:pPr>
            <w:r>
              <w:t>资金发放程序规范，资金使用合规到位</w:t>
            </w:r>
          </w:p>
        </w:tc>
        <w:tc>
          <w:tcPr>
            <w:tcW w:w="1276" w:type="dxa"/>
            <w:vAlign w:val="center"/>
          </w:tcPr>
          <w:p>
            <w:pPr>
              <w:pStyle w:val="14"/>
            </w:pPr>
            <w:r>
              <w:t>河北省财政厅《关于提前下达2024年农村客运补贴、城市交通发展奖励资金预算的通知》（冀财建【2023】259号）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完成项目的时效</w:t>
            </w:r>
          </w:p>
        </w:tc>
        <w:tc>
          <w:tcPr>
            <w:tcW w:w="5386" w:type="dxa"/>
            <w:vAlign w:val="center"/>
          </w:tcPr>
          <w:p>
            <w:pPr>
              <w:pStyle w:val="14"/>
            </w:pPr>
            <w:r>
              <w:t>完成项目的时效</w:t>
            </w:r>
          </w:p>
        </w:tc>
        <w:tc>
          <w:tcPr>
            <w:tcW w:w="2268" w:type="dxa"/>
            <w:vAlign w:val="center"/>
          </w:tcPr>
          <w:p>
            <w:pPr>
              <w:pStyle w:val="14"/>
            </w:pPr>
            <w:r>
              <w:t>按时完成</w:t>
            </w:r>
          </w:p>
        </w:tc>
        <w:tc>
          <w:tcPr>
            <w:tcW w:w="1276" w:type="dxa"/>
            <w:vAlign w:val="center"/>
          </w:tcPr>
          <w:p>
            <w:pPr>
              <w:pStyle w:val="14"/>
            </w:pPr>
            <w:r>
              <w:t>河北省财政厅《关于提前下达2024年农村客运补贴、城市交通发展奖励资金预算的通知》（冀财建【2023】259号）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补贴政策所用资金情况</w:t>
            </w:r>
          </w:p>
        </w:tc>
        <w:tc>
          <w:tcPr>
            <w:tcW w:w="5386" w:type="dxa"/>
            <w:vAlign w:val="center"/>
          </w:tcPr>
          <w:p>
            <w:pPr>
              <w:pStyle w:val="14"/>
            </w:pPr>
            <w:r>
              <w:t>补贴政策所用资金情况</w:t>
            </w:r>
          </w:p>
        </w:tc>
        <w:tc>
          <w:tcPr>
            <w:tcW w:w="2268" w:type="dxa"/>
            <w:vAlign w:val="center"/>
          </w:tcPr>
          <w:p>
            <w:pPr>
              <w:pStyle w:val="14"/>
            </w:pPr>
            <w:r>
              <w:t>≤194.97万元</w:t>
            </w:r>
          </w:p>
        </w:tc>
        <w:tc>
          <w:tcPr>
            <w:tcW w:w="1276" w:type="dxa"/>
            <w:vAlign w:val="center"/>
          </w:tcPr>
          <w:p>
            <w:pPr>
              <w:pStyle w:val="14"/>
            </w:pPr>
            <w:r>
              <w:t>河北省财政厅《关于提前下达2024年农村客运补贴、城市交通发展奖励资金预算的通知》（冀财建【2023】259号）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项目实现的功能</w:t>
            </w:r>
          </w:p>
        </w:tc>
        <w:tc>
          <w:tcPr>
            <w:tcW w:w="5386" w:type="dxa"/>
            <w:vAlign w:val="center"/>
          </w:tcPr>
          <w:p>
            <w:pPr>
              <w:pStyle w:val="14"/>
            </w:pPr>
            <w:r>
              <w:t>城市发展奖励资金项目实现的功能</w:t>
            </w:r>
          </w:p>
        </w:tc>
        <w:tc>
          <w:tcPr>
            <w:tcW w:w="2268" w:type="dxa"/>
            <w:vAlign w:val="center"/>
          </w:tcPr>
          <w:p>
            <w:pPr>
              <w:pStyle w:val="14"/>
            </w:pPr>
            <w:r>
              <w:t>促进出租汽车行业健康稳定发展，提高巡游出租车新能源占比；确保新增或更新城市公交车车辆中新能源占比达到85%以上。</w:t>
            </w:r>
          </w:p>
        </w:tc>
        <w:tc>
          <w:tcPr>
            <w:tcW w:w="1276" w:type="dxa"/>
            <w:vAlign w:val="center"/>
          </w:tcPr>
          <w:p>
            <w:pPr>
              <w:pStyle w:val="14"/>
            </w:pPr>
            <w:r>
              <w:t>河北省财政厅《关于提前下达2024年农村客运补贴、城市交通发展奖励资金预算的通知》（冀财建【2023】259号）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城市客运企业满意度</w:t>
            </w:r>
          </w:p>
        </w:tc>
        <w:tc>
          <w:tcPr>
            <w:tcW w:w="5386" w:type="dxa"/>
            <w:vAlign w:val="center"/>
          </w:tcPr>
          <w:p>
            <w:pPr>
              <w:pStyle w:val="14"/>
            </w:pPr>
            <w:r>
              <w:t>城市客运企业满意度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7、关于提前下达2024年农村客运补贴、城市交通发展奖励资金预算的通知（冀财建【2023】259号）农村道路客运补贴资金绩效目标表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13102824P002805109355</w:t>
            </w:r>
          </w:p>
        </w:tc>
        <w:tc>
          <w:tcPr>
            <w:tcW w:w="2835" w:type="dxa"/>
            <w:vAlign w:val="center"/>
          </w:tcPr>
          <w:p>
            <w:pPr>
              <w:pStyle w:val="12"/>
            </w:pPr>
            <w:r>
              <w:t>项目名称</w:t>
            </w:r>
          </w:p>
        </w:tc>
        <w:tc>
          <w:tcPr>
            <w:tcW w:w="6094" w:type="dxa"/>
            <w:gridSpan w:val="3"/>
            <w:vAlign w:val="center"/>
          </w:tcPr>
          <w:p>
            <w:pPr>
              <w:pStyle w:val="14"/>
            </w:pPr>
            <w:r>
              <w:t>关于提前下达2024年农村客运补贴、城市交通发展奖励资金预算的通知（冀财建【2023】259号）农村道路客运补贴资金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86.52</w:t>
            </w:r>
          </w:p>
        </w:tc>
        <w:tc>
          <w:tcPr>
            <w:tcW w:w="2835" w:type="dxa"/>
            <w:vAlign w:val="center"/>
          </w:tcPr>
          <w:p>
            <w:pPr>
              <w:pStyle w:val="12"/>
            </w:pPr>
            <w:r>
              <w:t>其中：财政    资金</w:t>
            </w:r>
          </w:p>
        </w:tc>
        <w:tc>
          <w:tcPr>
            <w:tcW w:w="2551" w:type="dxa"/>
            <w:vAlign w:val="center"/>
          </w:tcPr>
          <w:p>
            <w:pPr>
              <w:pStyle w:val="14"/>
            </w:pPr>
            <w:r>
              <w:t>86.52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推进城乡客运公共服务均等化，强化农村客运安全运营，为人民群众提供安全、便捷出行服务。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1.推进城乡客运公共服务均等化，强化农村客运安全运营，为人民群众提供安全、便捷出行服务。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已通客车的乡镇和建制村占具备通客车条件的乡镇建制村的比值</w:t>
            </w:r>
          </w:p>
        </w:tc>
        <w:tc>
          <w:tcPr>
            <w:tcW w:w="5386" w:type="dxa"/>
            <w:vAlign w:val="center"/>
          </w:tcPr>
          <w:p>
            <w:pPr>
              <w:pStyle w:val="14"/>
            </w:pPr>
            <w:r>
              <w:t>村占具备通客车条件的乡镇建制村的比值</w:t>
            </w:r>
          </w:p>
        </w:tc>
        <w:tc>
          <w:tcPr>
            <w:tcW w:w="2268" w:type="dxa"/>
            <w:vAlign w:val="center"/>
          </w:tcPr>
          <w:p>
            <w:pPr>
              <w:pStyle w:val="14"/>
            </w:pPr>
            <w:r>
              <w:t>100%</w:t>
            </w:r>
          </w:p>
        </w:tc>
        <w:tc>
          <w:tcPr>
            <w:tcW w:w="1276" w:type="dxa"/>
            <w:vAlign w:val="center"/>
          </w:tcPr>
          <w:p>
            <w:pPr>
              <w:pStyle w:val="14"/>
            </w:pPr>
            <w:r>
              <w:t>河北省财政厅《关于提前下达2024年农村客运补贴、城市交通发展奖励资金预算的通知（冀财建【2023】259号）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补助天数不少于规定数</w:t>
            </w:r>
          </w:p>
        </w:tc>
        <w:tc>
          <w:tcPr>
            <w:tcW w:w="5386" w:type="dxa"/>
            <w:vAlign w:val="center"/>
          </w:tcPr>
          <w:p>
            <w:pPr>
              <w:pStyle w:val="14"/>
            </w:pPr>
            <w:r>
              <w:t>补助天数不少于规定数</w:t>
            </w:r>
          </w:p>
        </w:tc>
        <w:tc>
          <w:tcPr>
            <w:tcW w:w="2268" w:type="dxa"/>
            <w:vAlign w:val="center"/>
          </w:tcPr>
          <w:p>
            <w:pPr>
              <w:pStyle w:val="14"/>
            </w:pPr>
            <w:r>
              <w:t>≤22753天</w:t>
            </w:r>
          </w:p>
        </w:tc>
        <w:tc>
          <w:tcPr>
            <w:tcW w:w="1276" w:type="dxa"/>
            <w:vAlign w:val="center"/>
          </w:tcPr>
          <w:p>
            <w:pPr>
              <w:pStyle w:val="14"/>
            </w:pPr>
            <w:r>
              <w:t>河北省财政厅《关于提前下达2024年农村客运补贴、城市交通发展奖励资金预算的通知（冀财建【2023】259号）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补贴资金发放准确率</w:t>
            </w:r>
          </w:p>
        </w:tc>
        <w:tc>
          <w:tcPr>
            <w:tcW w:w="5386" w:type="dxa"/>
            <w:vAlign w:val="center"/>
          </w:tcPr>
          <w:p>
            <w:pPr>
              <w:pStyle w:val="14"/>
            </w:pPr>
            <w:r>
              <w:t>农村客运补贴资金发放准确率</w:t>
            </w:r>
          </w:p>
        </w:tc>
        <w:tc>
          <w:tcPr>
            <w:tcW w:w="2268" w:type="dxa"/>
            <w:vAlign w:val="center"/>
          </w:tcPr>
          <w:p>
            <w:pPr>
              <w:pStyle w:val="14"/>
            </w:pPr>
            <w:r>
              <w:t>100%</w:t>
            </w:r>
          </w:p>
        </w:tc>
        <w:tc>
          <w:tcPr>
            <w:tcW w:w="1276" w:type="dxa"/>
            <w:vAlign w:val="center"/>
          </w:tcPr>
          <w:p>
            <w:pPr>
              <w:pStyle w:val="14"/>
            </w:pPr>
            <w:r>
              <w:t>河北省财政厅《关于提前下达2024年农村客运补贴、城市交通发展奖励资金预算的通知（冀财建【2023】259号）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完成项目的时效</w:t>
            </w:r>
          </w:p>
        </w:tc>
        <w:tc>
          <w:tcPr>
            <w:tcW w:w="5386" w:type="dxa"/>
            <w:vAlign w:val="center"/>
          </w:tcPr>
          <w:p>
            <w:pPr>
              <w:pStyle w:val="14"/>
            </w:pPr>
            <w:r>
              <w:t>完成项目的时效</w:t>
            </w:r>
          </w:p>
        </w:tc>
        <w:tc>
          <w:tcPr>
            <w:tcW w:w="2268" w:type="dxa"/>
            <w:vAlign w:val="center"/>
          </w:tcPr>
          <w:p>
            <w:pPr>
              <w:pStyle w:val="14"/>
            </w:pPr>
            <w:r>
              <w:t>按时完成</w:t>
            </w:r>
          </w:p>
        </w:tc>
        <w:tc>
          <w:tcPr>
            <w:tcW w:w="1276" w:type="dxa"/>
            <w:vAlign w:val="center"/>
          </w:tcPr>
          <w:p>
            <w:pPr>
              <w:pStyle w:val="14"/>
            </w:pPr>
            <w:r>
              <w:t>河北省财政厅《关于提前下达2024年农村客运补贴、城市交通发展奖励资金预算的通知（冀财建【2023】259号）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补贴政策所有资金情况</w:t>
            </w:r>
          </w:p>
        </w:tc>
        <w:tc>
          <w:tcPr>
            <w:tcW w:w="5386" w:type="dxa"/>
            <w:vAlign w:val="center"/>
          </w:tcPr>
          <w:p>
            <w:pPr>
              <w:pStyle w:val="14"/>
            </w:pPr>
            <w:r>
              <w:t>补贴政策所用资金情况</w:t>
            </w:r>
          </w:p>
        </w:tc>
        <w:tc>
          <w:tcPr>
            <w:tcW w:w="2268" w:type="dxa"/>
            <w:vAlign w:val="center"/>
          </w:tcPr>
          <w:p>
            <w:pPr>
              <w:pStyle w:val="14"/>
            </w:pPr>
            <w:r>
              <w:t>≤86.52万元</w:t>
            </w:r>
          </w:p>
        </w:tc>
        <w:tc>
          <w:tcPr>
            <w:tcW w:w="1276" w:type="dxa"/>
            <w:vAlign w:val="center"/>
          </w:tcPr>
          <w:p>
            <w:pPr>
              <w:pStyle w:val="14"/>
            </w:pPr>
            <w:r>
              <w:t>河北省财政厅《关于提前下达2024年农村客运补贴、城市交通发展奖励资金预算的通知（冀财建【2023】259号）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对经济发展的促进作用</w:t>
            </w:r>
          </w:p>
        </w:tc>
        <w:tc>
          <w:tcPr>
            <w:tcW w:w="5386" w:type="dxa"/>
            <w:vAlign w:val="center"/>
          </w:tcPr>
          <w:p>
            <w:pPr>
              <w:pStyle w:val="14"/>
            </w:pPr>
            <w:r>
              <w:t>农村客运补贴资金对经济发展的促进作用</w:t>
            </w:r>
          </w:p>
        </w:tc>
        <w:tc>
          <w:tcPr>
            <w:tcW w:w="2268" w:type="dxa"/>
            <w:vAlign w:val="center"/>
          </w:tcPr>
          <w:p>
            <w:pPr>
              <w:pStyle w:val="14"/>
            </w:pPr>
            <w:r>
              <w:t>明显促进</w:t>
            </w:r>
          </w:p>
        </w:tc>
        <w:tc>
          <w:tcPr>
            <w:tcW w:w="1276" w:type="dxa"/>
            <w:vAlign w:val="center"/>
          </w:tcPr>
          <w:p>
            <w:pPr>
              <w:pStyle w:val="14"/>
            </w:pPr>
            <w:r>
              <w:t>河北省财政厅《关于提前下达2024年农村客运补贴、城市交通发展奖励资金预算的通知（冀财建【2023】259号）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项目实现对农村客运的影响</w:t>
            </w:r>
          </w:p>
        </w:tc>
        <w:tc>
          <w:tcPr>
            <w:tcW w:w="5386" w:type="dxa"/>
            <w:vAlign w:val="center"/>
          </w:tcPr>
          <w:p>
            <w:pPr>
              <w:pStyle w:val="14"/>
            </w:pPr>
            <w:r>
              <w:t>项目实施达到预期目标，推动农村道路客运健康有序发展，为人民群众提供安全便捷出行服务</w:t>
            </w:r>
          </w:p>
        </w:tc>
        <w:tc>
          <w:tcPr>
            <w:tcW w:w="2268" w:type="dxa"/>
            <w:vAlign w:val="center"/>
          </w:tcPr>
          <w:p>
            <w:pPr>
              <w:pStyle w:val="14"/>
            </w:pPr>
            <w:r>
              <w:t>达到预期目标</w:t>
            </w:r>
          </w:p>
        </w:tc>
        <w:tc>
          <w:tcPr>
            <w:tcW w:w="1276" w:type="dxa"/>
            <w:vAlign w:val="center"/>
          </w:tcPr>
          <w:p>
            <w:pPr>
              <w:pStyle w:val="14"/>
            </w:pPr>
            <w:r>
              <w:t>河北省财政厅《关于提前下达2024年农村客运补贴、城市交通发展奖励资金预算的通知（冀财建【2023】259号）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满足未来一定时期的客运需求</w:t>
            </w:r>
          </w:p>
        </w:tc>
        <w:tc>
          <w:tcPr>
            <w:tcW w:w="5386" w:type="dxa"/>
            <w:vAlign w:val="center"/>
          </w:tcPr>
          <w:p>
            <w:pPr>
              <w:pStyle w:val="14"/>
            </w:pPr>
            <w:r>
              <w:t>满足未来一定时期的客运需求</w:t>
            </w:r>
          </w:p>
        </w:tc>
        <w:tc>
          <w:tcPr>
            <w:tcW w:w="2268" w:type="dxa"/>
            <w:vAlign w:val="center"/>
          </w:tcPr>
          <w:p>
            <w:pPr>
              <w:pStyle w:val="14"/>
            </w:pPr>
            <w:r>
              <w:t>满足</w:t>
            </w:r>
          </w:p>
        </w:tc>
        <w:tc>
          <w:tcPr>
            <w:tcW w:w="1276" w:type="dxa"/>
            <w:vAlign w:val="center"/>
          </w:tcPr>
          <w:p>
            <w:pPr>
              <w:pStyle w:val="14"/>
            </w:pPr>
            <w:r>
              <w:t>河北省财政厅《关于提前下达2024年农村客运补贴、城市交通发展奖励资金预算的通知（冀财建【2023】259号）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8、关于提前下达2024年普通国省干线公路建设养护发展专项资金的通知（冀财建【2023】269号）（日常养护补助部分）绩效目标表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13102824P00280511001J</w:t>
            </w:r>
          </w:p>
        </w:tc>
        <w:tc>
          <w:tcPr>
            <w:tcW w:w="2835" w:type="dxa"/>
            <w:vAlign w:val="center"/>
          </w:tcPr>
          <w:p>
            <w:pPr>
              <w:pStyle w:val="12"/>
            </w:pPr>
            <w:r>
              <w:t>项目名称</w:t>
            </w:r>
          </w:p>
        </w:tc>
        <w:tc>
          <w:tcPr>
            <w:tcW w:w="6094" w:type="dxa"/>
            <w:gridSpan w:val="3"/>
            <w:vAlign w:val="center"/>
          </w:tcPr>
          <w:p>
            <w:pPr>
              <w:pStyle w:val="14"/>
            </w:pPr>
            <w:r>
              <w:t>关于提前下达2024年普通国省干线公路建设养护发展专项资金的通知（冀财建【2023】269号）（日常养护补助部分）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121.00</w:t>
            </w:r>
          </w:p>
        </w:tc>
        <w:tc>
          <w:tcPr>
            <w:tcW w:w="2835" w:type="dxa"/>
            <w:vAlign w:val="center"/>
          </w:tcPr>
          <w:p>
            <w:pPr>
              <w:pStyle w:val="12"/>
            </w:pPr>
            <w:r>
              <w:t>其中：财政    资金</w:t>
            </w:r>
          </w:p>
        </w:tc>
        <w:tc>
          <w:tcPr>
            <w:tcW w:w="2551" w:type="dxa"/>
            <w:vAlign w:val="center"/>
          </w:tcPr>
          <w:p>
            <w:pPr>
              <w:pStyle w:val="14"/>
            </w:pPr>
            <w:r>
              <w:t>121.00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国省干线养护资金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1."完成灾害性损害以及公路沿线设施经常性维护保养和修补轻微损坏部分维修，实现公路及其设施的完好状</w:t>
            </w:r>
          </w:p>
          <w:p>
            <w:pPr>
              <w:pStyle w:val="14"/>
            </w:pPr>
            <w:r>
              <w:t>态，保障行车安全舒适、畅通，延长公路的使用年限。"</w:t>
            </w:r>
            <w:r>
              <w:tab/>
            </w:r>
            <w:r>
              <w:tab/>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公路养护</w:t>
            </w:r>
          </w:p>
          <w:p>
            <w:pPr>
              <w:pStyle w:val="14"/>
            </w:pPr>
            <w:r>
              <w:t>长度</w:t>
            </w:r>
          </w:p>
        </w:tc>
        <w:tc>
          <w:tcPr>
            <w:tcW w:w="5386" w:type="dxa"/>
            <w:vAlign w:val="center"/>
          </w:tcPr>
          <w:p>
            <w:pPr>
              <w:pStyle w:val="14"/>
            </w:pPr>
            <w:r>
              <w:t>实际完成普通干线公路养护长度30.59</w:t>
            </w:r>
          </w:p>
        </w:tc>
        <w:tc>
          <w:tcPr>
            <w:tcW w:w="2268" w:type="dxa"/>
            <w:vAlign w:val="center"/>
          </w:tcPr>
          <w:p>
            <w:pPr>
              <w:pStyle w:val="14"/>
            </w:pPr>
            <w:r>
              <w:t>30.59公里</w:t>
            </w:r>
          </w:p>
        </w:tc>
        <w:tc>
          <w:tcPr>
            <w:tcW w:w="1276" w:type="dxa"/>
            <w:vAlign w:val="center"/>
          </w:tcPr>
          <w:p>
            <w:pPr>
              <w:pStyle w:val="14"/>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达标率</w:t>
            </w:r>
          </w:p>
        </w:tc>
        <w:tc>
          <w:tcPr>
            <w:tcW w:w="5386" w:type="dxa"/>
            <w:vAlign w:val="center"/>
          </w:tcPr>
          <w:p>
            <w:pPr>
              <w:pStyle w:val="14"/>
            </w:pPr>
            <w:r>
              <w:t>公路养护工</w:t>
            </w:r>
          </w:p>
          <w:p>
            <w:pPr>
              <w:pStyle w:val="14"/>
            </w:pPr>
            <w:r>
              <w:t>程达标率</w:t>
            </w:r>
          </w:p>
        </w:tc>
        <w:tc>
          <w:tcPr>
            <w:tcW w:w="2268" w:type="dxa"/>
            <w:vAlign w:val="center"/>
          </w:tcPr>
          <w:p>
            <w:pPr>
              <w:pStyle w:val="14"/>
            </w:pPr>
            <w:r>
              <w:t>≥98%</w:t>
            </w:r>
          </w:p>
        </w:tc>
        <w:tc>
          <w:tcPr>
            <w:tcW w:w="1276" w:type="dxa"/>
            <w:vAlign w:val="center"/>
          </w:tcPr>
          <w:p>
            <w:pPr>
              <w:pStyle w:val="14"/>
            </w:pPr>
            <w:r>
              <w:t>《廊坊市普通干线公路日常养护工作管理规定》、《河北省普通干线公路标准化养护实施标准》、《大厂回族自治县公路管理站国省干线公路日常养护实施方案》、《公路养护技术规范》JTJ H1O-2009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实施时间</w:t>
            </w:r>
          </w:p>
        </w:tc>
        <w:tc>
          <w:tcPr>
            <w:tcW w:w="5386" w:type="dxa"/>
            <w:vAlign w:val="center"/>
          </w:tcPr>
          <w:p>
            <w:pPr>
              <w:pStyle w:val="14"/>
            </w:pPr>
            <w:r>
              <w:t>年度养护工</w:t>
            </w:r>
          </w:p>
          <w:p>
            <w:pPr>
              <w:pStyle w:val="14"/>
            </w:pPr>
            <w:r>
              <w:t>作实施时间</w:t>
            </w:r>
          </w:p>
        </w:tc>
        <w:tc>
          <w:tcPr>
            <w:tcW w:w="2268" w:type="dxa"/>
            <w:vAlign w:val="center"/>
          </w:tcPr>
          <w:p>
            <w:pPr>
              <w:pStyle w:val="14"/>
            </w:pPr>
            <w:r>
              <w:t>1年</w:t>
            </w:r>
          </w:p>
        </w:tc>
        <w:tc>
          <w:tcPr>
            <w:tcW w:w="1276" w:type="dxa"/>
            <w:vAlign w:val="center"/>
          </w:tcPr>
          <w:p>
            <w:pPr>
              <w:pStyle w:val="14"/>
            </w:pPr>
            <w:r>
              <w:t>《廊坊市普</w:t>
            </w:r>
          </w:p>
          <w:p>
            <w:pPr>
              <w:pStyle w:val="14"/>
            </w:pPr>
            <w:r>
              <w:t>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超预算比例</w:t>
            </w:r>
          </w:p>
        </w:tc>
        <w:tc>
          <w:tcPr>
            <w:tcW w:w="5386" w:type="dxa"/>
            <w:vAlign w:val="center"/>
          </w:tcPr>
          <w:p>
            <w:pPr>
              <w:pStyle w:val="14"/>
            </w:pPr>
            <w:r>
              <w:t>（实际支付</w:t>
            </w:r>
          </w:p>
          <w:p>
            <w:pPr>
              <w:pStyle w:val="14"/>
            </w:pPr>
            <w:r>
              <w:t>资金-预算资金）/预算资金*100%</w:t>
            </w:r>
          </w:p>
        </w:tc>
        <w:tc>
          <w:tcPr>
            <w:tcW w:w="2268" w:type="dxa"/>
            <w:vAlign w:val="center"/>
          </w:tcPr>
          <w:p>
            <w:pPr>
              <w:pStyle w:val="14"/>
            </w:pPr>
            <w:r>
              <w:t>0.1%</w:t>
            </w:r>
          </w:p>
        </w:tc>
        <w:tc>
          <w:tcPr>
            <w:tcW w:w="1276" w:type="dxa"/>
            <w:vAlign w:val="center"/>
          </w:tcPr>
          <w:p>
            <w:pPr>
              <w:pStyle w:val="14"/>
            </w:pPr>
            <w:r>
              <w:t>历史数据或</w:t>
            </w:r>
          </w:p>
          <w:p>
            <w:pPr>
              <w:pStyle w:val="14"/>
            </w:pPr>
            <w:r>
              <w:t>指标文件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正常通行率</w:t>
            </w:r>
          </w:p>
        </w:tc>
        <w:tc>
          <w:tcPr>
            <w:tcW w:w="5386" w:type="dxa"/>
            <w:vAlign w:val="center"/>
          </w:tcPr>
          <w:p>
            <w:pPr>
              <w:pStyle w:val="14"/>
            </w:pPr>
            <w:r>
              <w:t>安全畅通天</w:t>
            </w:r>
          </w:p>
          <w:p>
            <w:pPr>
              <w:pStyle w:val="14"/>
            </w:pPr>
            <w:r>
              <w:t>数/365天</w:t>
            </w:r>
          </w:p>
        </w:tc>
        <w:tc>
          <w:tcPr>
            <w:tcW w:w="2268" w:type="dxa"/>
            <w:vAlign w:val="center"/>
          </w:tcPr>
          <w:p>
            <w:pPr>
              <w:pStyle w:val="14"/>
            </w:pPr>
            <w:r>
              <w:t>100%</w:t>
            </w:r>
          </w:p>
        </w:tc>
        <w:tc>
          <w:tcPr>
            <w:tcW w:w="1276" w:type="dxa"/>
            <w:vAlign w:val="center"/>
          </w:tcPr>
          <w:p>
            <w:pPr>
              <w:pStyle w:val="14"/>
            </w:pPr>
            <w:r>
              <w:t>《廊坊市普通干线公路日常养护工作管理规定》、《河北省普通干线公路标准化养护实施标准》、《大厂回族自治县公路管理站国省干线公路日常养护实施方案》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w:t>
            </w:r>
          </w:p>
          <w:p>
            <w:pPr>
              <w:pStyle w:val="14"/>
            </w:pPr>
            <w:r>
              <w:t>满意度</w:t>
            </w:r>
          </w:p>
        </w:tc>
        <w:tc>
          <w:tcPr>
            <w:tcW w:w="5386" w:type="dxa"/>
            <w:vAlign w:val="center"/>
          </w:tcPr>
          <w:p>
            <w:pPr>
              <w:pStyle w:val="14"/>
            </w:pPr>
            <w:r>
              <w:t>调查中满意</w:t>
            </w:r>
          </w:p>
          <w:p>
            <w:pPr>
              <w:pStyle w:val="14"/>
            </w:pPr>
            <w:r>
              <w:t>和比较满意的社会群众占调查总人数的比率</w:t>
            </w:r>
          </w:p>
        </w:tc>
        <w:tc>
          <w:tcPr>
            <w:tcW w:w="2268" w:type="dxa"/>
            <w:vAlign w:val="center"/>
          </w:tcPr>
          <w:p>
            <w:pPr>
              <w:pStyle w:val="14"/>
            </w:pPr>
            <w:r>
              <w:t>≥90%</w:t>
            </w:r>
          </w:p>
        </w:tc>
        <w:tc>
          <w:tcPr>
            <w:tcW w:w="1276" w:type="dxa"/>
            <w:vAlign w:val="center"/>
          </w:tcPr>
          <w:p>
            <w:pPr>
              <w:pStyle w:val="14"/>
            </w:pPr>
            <w:r>
              <w:t>行业标准问卷调查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9、关于提前下达2024年普通国省干线公路建设养护发展专项资金的通知（冀财建【2023】269号）廊坊市大厂县大香线大厂站治超资金绩效目标表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13102824P00280510941J</w:t>
            </w:r>
          </w:p>
        </w:tc>
        <w:tc>
          <w:tcPr>
            <w:tcW w:w="2835" w:type="dxa"/>
            <w:vAlign w:val="center"/>
          </w:tcPr>
          <w:p>
            <w:pPr>
              <w:pStyle w:val="12"/>
            </w:pPr>
            <w:r>
              <w:t>项目名称</w:t>
            </w:r>
          </w:p>
        </w:tc>
        <w:tc>
          <w:tcPr>
            <w:tcW w:w="6094" w:type="dxa"/>
            <w:gridSpan w:val="3"/>
            <w:vAlign w:val="center"/>
          </w:tcPr>
          <w:p>
            <w:pPr>
              <w:pStyle w:val="14"/>
            </w:pPr>
            <w:r>
              <w:t>关于提前下达2024年普通国省干线公路建设养护发展专项资金的通知（冀财建【2023】269号）廊坊市大厂县大香线大厂站治超资金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40.00</w:t>
            </w:r>
          </w:p>
        </w:tc>
        <w:tc>
          <w:tcPr>
            <w:tcW w:w="2835" w:type="dxa"/>
            <w:vAlign w:val="center"/>
          </w:tcPr>
          <w:p>
            <w:pPr>
              <w:pStyle w:val="12"/>
            </w:pPr>
            <w:r>
              <w:t>其中：财政    资金</w:t>
            </w:r>
          </w:p>
        </w:tc>
        <w:tc>
          <w:tcPr>
            <w:tcW w:w="2551" w:type="dxa"/>
            <w:vAlign w:val="center"/>
          </w:tcPr>
          <w:p>
            <w:pPr>
              <w:pStyle w:val="14"/>
            </w:pPr>
            <w:r>
              <w:t>40.00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国省干线治超经费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1.通过项目的开展使公路车辆超限超载行为得到有效遏制和治理，将公路超限运输率控制在0.5%以下，实现延长公路使用寿命并节约国家投资的目标。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联合治超站</w:t>
            </w:r>
          </w:p>
        </w:tc>
        <w:tc>
          <w:tcPr>
            <w:tcW w:w="5386" w:type="dxa"/>
            <w:vAlign w:val="center"/>
          </w:tcPr>
          <w:p>
            <w:pPr>
              <w:pStyle w:val="14"/>
            </w:pPr>
            <w:r>
              <w:t>联合治超站</w:t>
            </w:r>
          </w:p>
        </w:tc>
        <w:tc>
          <w:tcPr>
            <w:tcW w:w="2268" w:type="dxa"/>
            <w:vAlign w:val="center"/>
          </w:tcPr>
          <w:p>
            <w:pPr>
              <w:pStyle w:val="14"/>
            </w:pPr>
            <w:r>
              <w:t>1个</w:t>
            </w:r>
          </w:p>
        </w:tc>
        <w:tc>
          <w:tcPr>
            <w:tcW w:w="1276" w:type="dxa"/>
            <w:vAlign w:val="center"/>
          </w:tcPr>
          <w:p>
            <w:pPr>
              <w:pStyle w:val="14"/>
            </w:pPr>
            <w:r>
              <w:t>冀交公[2017]230号廊路（2017）18号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联合治超站正常运转率</w:t>
            </w:r>
          </w:p>
        </w:tc>
        <w:tc>
          <w:tcPr>
            <w:tcW w:w="5386" w:type="dxa"/>
            <w:vAlign w:val="center"/>
          </w:tcPr>
          <w:p>
            <w:pPr>
              <w:pStyle w:val="14"/>
            </w:pPr>
            <w:r>
              <w:t>联合治超站正常运转/365</w:t>
            </w:r>
          </w:p>
        </w:tc>
        <w:tc>
          <w:tcPr>
            <w:tcW w:w="2268" w:type="dxa"/>
            <w:vAlign w:val="center"/>
          </w:tcPr>
          <w:p>
            <w:pPr>
              <w:pStyle w:val="14"/>
            </w:pPr>
            <w:r>
              <w:t>100%</w:t>
            </w:r>
          </w:p>
        </w:tc>
        <w:tc>
          <w:tcPr>
            <w:tcW w:w="1276" w:type="dxa"/>
            <w:vAlign w:val="center"/>
          </w:tcPr>
          <w:p>
            <w:pPr>
              <w:pStyle w:val="14"/>
            </w:pPr>
            <w:r>
              <w:t>《公路超限检测站管理办法》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完成及时率</w:t>
            </w:r>
          </w:p>
        </w:tc>
        <w:tc>
          <w:tcPr>
            <w:tcW w:w="5386" w:type="dxa"/>
            <w:vAlign w:val="center"/>
          </w:tcPr>
          <w:p>
            <w:pPr>
              <w:pStyle w:val="14"/>
            </w:pPr>
            <w:r>
              <w:t>设备维修、更新及时性，有效保证联合治超站正常运转</w:t>
            </w:r>
          </w:p>
        </w:tc>
        <w:tc>
          <w:tcPr>
            <w:tcW w:w="2268" w:type="dxa"/>
            <w:vAlign w:val="center"/>
          </w:tcPr>
          <w:p>
            <w:pPr>
              <w:pStyle w:val="14"/>
            </w:pPr>
            <w:r>
              <w:t>100%</w:t>
            </w:r>
          </w:p>
        </w:tc>
        <w:tc>
          <w:tcPr>
            <w:tcW w:w="1276" w:type="dxa"/>
            <w:vAlign w:val="center"/>
          </w:tcPr>
          <w:p>
            <w:pPr>
              <w:pStyle w:val="14"/>
            </w:pPr>
            <w:r>
              <w:t>维修审批单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超预算比例</w:t>
            </w:r>
          </w:p>
        </w:tc>
        <w:tc>
          <w:tcPr>
            <w:tcW w:w="5386" w:type="dxa"/>
            <w:vAlign w:val="center"/>
          </w:tcPr>
          <w:p>
            <w:pPr>
              <w:pStyle w:val="14"/>
            </w:pPr>
            <w:r>
              <w:t>（实际支付资金-预算资金）/预算资金*100%</w:t>
            </w:r>
          </w:p>
        </w:tc>
        <w:tc>
          <w:tcPr>
            <w:tcW w:w="2268" w:type="dxa"/>
            <w:vAlign w:val="center"/>
          </w:tcPr>
          <w:p>
            <w:pPr>
              <w:pStyle w:val="14"/>
            </w:pPr>
            <w:r>
              <w:t>0%</w:t>
            </w:r>
          </w:p>
        </w:tc>
        <w:tc>
          <w:tcPr>
            <w:tcW w:w="1276" w:type="dxa"/>
            <w:vAlign w:val="center"/>
          </w:tcPr>
          <w:p>
            <w:pPr>
              <w:pStyle w:val="14"/>
            </w:pPr>
            <w:r>
              <w:t>冀交公[2017]230号廊路（2017）18号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超限超载率</w:t>
            </w:r>
          </w:p>
        </w:tc>
        <w:tc>
          <w:tcPr>
            <w:tcW w:w="5386" w:type="dxa"/>
            <w:vAlign w:val="center"/>
          </w:tcPr>
          <w:p>
            <w:pPr>
              <w:pStyle w:val="14"/>
            </w:pPr>
            <w:r>
              <w:t>超限超载</w:t>
            </w:r>
          </w:p>
        </w:tc>
        <w:tc>
          <w:tcPr>
            <w:tcW w:w="2268" w:type="dxa"/>
            <w:vAlign w:val="center"/>
          </w:tcPr>
          <w:p>
            <w:pPr>
              <w:pStyle w:val="14"/>
            </w:pPr>
            <w:r>
              <w:t>≤0.5%</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维护公路正常使用年限</w:t>
            </w:r>
          </w:p>
        </w:tc>
        <w:tc>
          <w:tcPr>
            <w:tcW w:w="5386" w:type="dxa"/>
            <w:vAlign w:val="center"/>
          </w:tcPr>
          <w:p>
            <w:pPr>
              <w:pStyle w:val="14"/>
            </w:pPr>
            <w:r>
              <w:t>维护公路正常使用年限</w:t>
            </w:r>
          </w:p>
        </w:tc>
        <w:tc>
          <w:tcPr>
            <w:tcW w:w="2268" w:type="dxa"/>
            <w:vAlign w:val="center"/>
          </w:tcPr>
          <w:p>
            <w:pPr>
              <w:pStyle w:val="14"/>
            </w:pPr>
            <w:r>
              <w:t>8年</w:t>
            </w:r>
          </w:p>
        </w:tc>
        <w:tc>
          <w:tcPr>
            <w:tcW w:w="1276" w:type="dxa"/>
            <w:vAlign w:val="center"/>
          </w:tcPr>
          <w:p>
            <w:pPr>
              <w:pStyle w:val="14"/>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沿线群众满意度情况</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10、国省干线清扫保洁保畅经费（含大气污染防治）绩效目标表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13102824P00343610462E</w:t>
            </w:r>
          </w:p>
        </w:tc>
        <w:tc>
          <w:tcPr>
            <w:tcW w:w="2835" w:type="dxa"/>
            <w:vAlign w:val="center"/>
          </w:tcPr>
          <w:p>
            <w:pPr>
              <w:pStyle w:val="12"/>
            </w:pPr>
            <w:r>
              <w:t>项目名称</w:t>
            </w:r>
          </w:p>
        </w:tc>
        <w:tc>
          <w:tcPr>
            <w:tcW w:w="6094" w:type="dxa"/>
            <w:gridSpan w:val="3"/>
            <w:vAlign w:val="center"/>
          </w:tcPr>
          <w:p>
            <w:pPr>
              <w:pStyle w:val="14"/>
            </w:pPr>
            <w:r>
              <w:t>国省干线清扫保洁保畅经费（含大气污染防治）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147.89</w:t>
            </w:r>
          </w:p>
        </w:tc>
        <w:tc>
          <w:tcPr>
            <w:tcW w:w="2835" w:type="dxa"/>
            <w:vAlign w:val="center"/>
          </w:tcPr>
          <w:p>
            <w:pPr>
              <w:pStyle w:val="12"/>
            </w:pPr>
            <w:r>
              <w:t>其中：财政    资金</w:t>
            </w:r>
          </w:p>
        </w:tc>
        <w:tc>
          <w:tcPr>
            <w:tcW w:w="2551" w:type="dxa"/>
            <w:vAlign w:val="center"/>
          </w:tcPr>
          <w:p>
            <w:pPr>
              <w:pStyle w:val="14"/>
            </w:pPr>
            <w:r>
              <w:t>147.89</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国省干线清扫保洁经费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1.通过完成该项目提升省道大香线绿化形象，打造大厂公路绿化景观带创造良好好的通行环境，</w:t>
            </w:r>
          </w:p>
          <w:p>
            <w:pPr>
              <w:pStyle w:val="14"/>
            </w:pPr>
            <w:r>
              <w:t>实现改造项目按时按质完成。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清扫保洁公里数</w:t>
            </w:r>
          </w:p>
        </w:tc>
        <w:tc>
          <w:tcPr>
            <w:tcW w:w="5386" w:type="dxa"/>
            <w:vAlign w:val="center"/>
          </w:tcPr>
          <w:p>
            <w:pPr>
              <w:pStyle w:val="14"/>
            </w:pPr>
            <w:r>
              <w:t>完成71.76公</w:t>
            </w:r>
          </w:p>
          <w:p>
            <w:pPr>
              <w:pStyle w:val="14"/>
            </w:pPr>
            <w:r>
              <w:t>里国省干线清扫保洁保畅洒水降尘日常养护工作</w:t>
            </w:r>
          </w:p>
        </w:tc>
        <w:tc>
          <w:tcPr>
            <w:tcW w:w="2268" w:type="dxa"/>
            <w:vAlign w:val="center"/>
          </w:tcPr>
          <w:p>
            <w:pPr>
              <w:pStyle w:val="14"/>
            </w:pPr>
            <w:r>
              <w:t>71.76公里</w:t>
            </w:r>
          </w:p>
        </w:tc>
        <w:tc>
          <w:tcPr>
            <w:tcW w:w="1276" w:type="dxa"/>
            <w:vAlign w:val="center"/>
          </w:tcPr>
          <w:p>
            <w:pPr>
              <w:pStyle w:val="14"/>
            </w:pPr>
            <w:r>
              <w:t>《廊坊市普</w:t>
            </w:r>
          </w:p>
          <w:p>
            <w:pPr>
              <w:pStyle w:val="14"/>
            </w:pPr>
            <w:r>
              <w:t>通干线公路日常养护工作管理规定》、《国省干线保洁保畅实施方案》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达标率</w:t>
            </w:r>
          </w:p>
        </w:tc>
        <w:tc>
          <w:tcPr>
            <w:tcW w:w="5386" w:type="dxa"/>
            <w:vAlign w:val="center"/>
          </w:tcPr>
          <w:p>
            <w:pPr>
              <w:pStyle w:val="14"/>
            </w:pPr>
            <w:r>
              <w:t>日常养护保</w:t>
            </w:r>
          </w:p>
          <w:p>
            <w:pPr>
              <w:pStyle w:val="14"/>
            </w:pPr>
            <w:r>
              <w:t>洁达标清扫保洁面积/总面积</w:t>
            </w:r>
          </w:p>
        </w:tc>
        <w:tc>
          <w:tcPr>
            <w:tcW w:w="2268" w:type="dxa"/>
            <w:vAlign w:val="center"/>
          </w:tcPr>
          <w:p>
            <w:pPr>
              <w:pStyle w:val="14"/>
            </w:pPr>
            <w:r>
              <w:t>≥95%</w:t>
            </w:r>
          </w:p>
        </w:tc>
        <w:tc>
          <w:tcPr>
            <w:tcW w:w="1276" w:type="dxa"/>
            <w:vAlign w:val="center"/>
          </w:tcPr>
          <w:p>
            <w:pPr>
              <w:pStyle w:val="14"/>
            </w:pPr>
            <w:r>
              <w:t>《廊坊市普通干线公路日常养护工作管理规定》、《国省干线保洁保畅实施方案》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实施时间</w:t>
            </w:r>
          </w:p>
        </w:tc>
        <w:tc>
          <w:tcPr>
            <w:tcW w:w="5386" w:type="dxa"/>
            <w:vAlign w:val="center"/>
          </w:tcPr>
          <w:p>
            <w:pPr>
              <w:pStyle w:val="14"/>
            </w:pPr>
            <w:r>
              <w:t>年度清扫保</w:t>
            </w:r>
          </w:p>
          <w:p>
            <w:pPr>
              <w:pStyle w:val="14"/>
            </w:pPr>
            <w:r>
              <w:t>洁工作实施时间</w:t>
            </w:r>
          </w:p>
        </w:tc>
        <w:tc>
          <w:tcPr>
            <w:tcW w:w="2268" w:type="dxa"/>
            <w:vAlign w:val="center"/>
          </w:tcPr>
          <w:p>
            <w:pPr>
              <w:pStyle w:val="14"/>
            </w:pPr>
            <w:r>
              <w:t>1年</w:t>
            </w:r>
          </w:p>
        </w:tc>
        <w:tc>
          <w:tcPr>
            <w:tcW w:w="1276" w:type="dxa"/>
            <w:vAlign w:val="center"/>
          </w:tcPr>
          <w:p>
            <w:pPr>
              <w:pStyle w:val="14"/>
            </w:pPr>
            <w:r>
              <w:t>《廊坊市普</w:t>
            </w:r>
          </w:p>
          <w:p>
            <w:pPr>
              <w:pStyle w:val="14"/>
            </w:pPr>
            <w:r>
              <w:t>通干线公路日常养护工作管理规定》、《大厂回族自治县公路管理站国省干线公路日常养护实施方案》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实际支出不超预算</w:t>
            </w:r>
          </w:p>
        </w:tc>
        <w:tc>
          <w:tcPr>
            <w:tcW w:w="2268" w:type="dxa"/>
            <w:vAlign w:val="center"/>
          </w:tcPr>
          <w:p>
            <w:pPr>
              <w:pStyle w:val="14"/>
            </w:pPr>
            <w:r>
              <w:t>≤10%</w:t>
            </w:r>
          </w:p>
        </w:tc>
        <w:tc>
          <w:tcPr>
            <w:tcW w:w="1276" w:type="dxa"/>
            <w:vAlign w:val="center"/>
          </w:tcPr>
          <w:p>
            <w:pPr>
              <w:pStyle w:val="14"/>
            </w:pPr>
            <w:r>
              <w:t>历史数据</w:t>
            </w:r>
          </w:p>
          <w:p>
            <w:pPr>
              <w:pStyle w:val="14"/>
            </w:pPr>
            <w:r>
              <w:t>或指标文件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正常通行率</w:t>
            </w:r>
          </w:p>
        </w:tc>
        <w:tc>
          <w:tcPr>
            <w:tcW w:w="5386" w:type="dxa"/>
            <w:vAlign w:val="center"/>
          </w:tcPr>
          <w:p>
            <w:pPr>
              <w:pStyle w:val="14"/>
            </w:pPr>
            <w:r>
              <w:t>安全畅通</w:t>
            </w:r>
          </w:p>
          <w:p>
            <w:pPr>
              <w:pStyle w:val="14"/>
            </w:pPr>
            <w:r>
              <w:t>天数/365天</w:t>
            </w:r>
          </w:p>
        </w:tc>
        <w:tc>
          <w:tcPr>
            <w:tcW w:w="2268" w:type="dxa"/>
            <w:vAlign w:val="center"/>
          </w:tcPr>
          <w:p>
            <w:pPr>
              <w:pStyle w:val="14"/>
            </w:pPr>
            <w:r>
              <w:t>100%</w:t>
            </w:r>
          </w:p>
        </w:tc>
        <w:tc>
          <w:tcPr>
            <w:tcW w:w="1276" w:type="dxa"/>
            <w:vAlign w:val="center"/>
          </w:tcPr>
          <w:p>
            <w:pPr>
              <w:pStyle w:val="14"/>
            </w:pPr>
            <w:r>
              <w:t>《廊坊市普通干线公路日常养护工作管理规定》、《大厂回族自治县公路管理站国省干线公路日常养护实施方案》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持续时长</w:t>
            </w:r>
          </w:p>
        </w:tc>
        <w:tc>
          <w:tcPr>
            <w:tcW w:w="5386" w:type="dxa"/>
            <w:vAlign w:val="center"/>
          </w:tcPr>
          <w:p>
            <w:pPr>
              <w:pStyle w:val="14"/>
            </w:pPr>
            <w:r>
              <w:t>项目持续发</w:t>
            </w:r>
          </w:p>
          <w:p>
            <w:pPr>
              <w:pStyle w:val="14"/>
            </w:pPr>
            <w:r>
              <w:t>挥作用的年限</w:t>
            </w:r>
          </w:p>
        </w:tc>
        <w:tc>
          <w:tcPr>
            <w:tcW w:w="2268" w:type="dxa"/>
            <w:vAlign w:val="center"/>
          </w:tcPr>
          <w:p>
            <w:pPr>
              <w:pStyle w:val="14"/>
            </w:pPr>
            <w:r>
              <w:t>1年</w:t>
            </w:r>
          </w:p>
        </w:tc>
        <w:tc>
          <w:tcPr>
            <w:tcW w:w="1276" w:type="dxa"/>
            <w:vAlign w:val="center"/>
          </w:tcPr>
          <w:p>
            <w:pPr>
              <w:pStyle w:val="14"/>
            </w:pPr>
            <w:r>
              <w:t>《廊坊市普通干线公路日常养护工作管理规定》、《大厂回族自治县公路管理站国省干线公路日常养护实施方案》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社会公众满意度</w:t>
            </w:r>
          </w:p>
        </w:tc>
        <w:tc>
          <w:tcPr>
            <w:tcW w:w="5386" w:type="dxa"/>
            <w:vAlign w:val="center"/>
          </w:tcPr>
          <w:p>
            <w:pPr>
              <w:pStyle w:val="14"/>
            </w:pPr>
            <w:r>
              <w:t>调查中满意</w:t>
            </w:r>
          </w:p>
          <w:p>
            <w:pPr>
              <w:pStyle w:val="14"/>
            </w:pPr>
            <w:r>
              <w:t>和比较满意的社会群众占调查总人数的比率</w:t>
            </w:r>
          </w:p>
        </w:tc>
        <w:tc>
          <w:tcPr>
            <w:tcW w:w="2268" w:type="dxa"/>
            <w:vAlign w:val="center"/>
          </w:tcPr>
          <w:p>
            <w:pPr>
              <w:pStyle w:val="14"/>
            </w:pPr>
            <w:r>
              <w:t>≥90%</w:t>
            </w:r>
          </w:p>
        </w:tc>
        <w:tc>
          <w:tcPr>
            <w:tcW w:w="1276" w:type="dxa"/>
            <w:vAlign w:val="center"/>
          </w:tcPr>
          <w:p>
            <w:pPr>
              <w:pStyle w:val="14"/>
            </w:pPr>
            <w:r>
              <w:t>满意度调查表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11、李大线立交桥排水泵站日常工作经费绩效目标表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13102824P00343610457L</w:t>
            </w:r>
          </w:p>
        </w:tc>
        <w:tc>
          <w:tcPr>
            <w:tcW w:w="2835" w:type="dxa"/>
            <w:vAlign w:val="center"/>
          </w:tcPr>
          <w:p>
            <w:pPr>
              <w:pStyle w:val="12"/>
            </w:pPr>
            <w:r>
              <w:t>项目名称</w:t>
            </w:r>
          </w:p>
        </w:tc>
        <w:tc>
          <w:tcPr>
            <w:tcW w:w="6094" w:type="dxa"/>
            <w:gridSpan w:val="3"/>
            <w:vAlign w:val="center"/>
          </w:tcPr>
          <w:p>
            <w:pPr>
              <w:pStyle w:val="14"/>
            </w:pPr>
            <w:r>
              <w:t>李大线立交桥排水泵站日常工作经费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7.50</w:t>
            </w:r>
          </w:p>
        </w:tc>
        <w:tc>
          <w:tcPr>
            <w:tcW w:w="2835" w:type="dxa"/>
            <w:vAlign w:val="center"/>
          </w:tcPr>
          <w:p>
            <w:pPr>
              <w:pStyle w:val="12"/>
            </w:pPr>
            <w:r>
              <w:t>其中：财政    资金</w:t>
            </w:r>
          </w:p>
        </w:tc>
        <w:tc>
          <w:tcPr>
            <w:tcW w:w="2551" w:type="dxa"/>
            <w:vAlign w:val="center"/>
          </w:tcPr>
          <w:p>
            <w:pPr>
              <w:pStyle w:val="14"/>
            </w:pPr>
            <w:r>
              <w:t>7.50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用于2024年李大线立交排水泵站全年工作正常运转，汛期增加值守人员，保障立交桥安全畅通，定期维护排水设备、线路，确保排水设备正常运转。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1.通过安排值守人员定期排水，并对李大线排水泵站排水设备、线路进行日常维护，解决李大线立交桥路面积水问题，确保道路安全畅通。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泥浆泵数量</w:t>
            </w:r>
          </w:p>
        </w:tc>
        <w:tc>
          <w:tcPr>
            <w:tcW w:w="5386" w:type="dxa"/>
            <w:vAlign w:val="center"/>
          </w:tcPr>
          <w:p>
            <w:pPr>
              <w:pStyle w:val="14"/>
            </w:pPr>
            <w:r>
              <w:t>保障2台10寸、1台8寸共计3台泥浆泵正常排水</w:t>
            </w:r>
          </w:p>
        </w:tc>
        <w:tc>
          <w:tcPr>
            <w:tcW w:w="2268" w:type="dxa"/>
            <w:vAlign w:val="center"/>
          </w:tcPr>
          <w:p>
            <w:pPr>
              <w:pStyle w:val="14"/>
            </w:pPr>
            <w:r>
              <w:t>3台</w:t>
            </w:r>
          </w:p>
        </w:tc>
        <w:tc>
          <w:tcPr>
            <w:tcW w:w="1276" w:type="dxa"/>
            <w:vAlign w:val="center"/>
          </w:tcPr>
          <w:p>
            <w:pPr>
              <w:pStyle w:val="14"/>
            </w:pPr>
            <w:r>
              <w:t>根据泥浆泵规格型号、排水量及立交桥集水面积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积水量</w:t>
            </w:r>
          </w:p>
        </w:tc>
        <w:tc>
          <w:tcPr>
            <w:tcW w:w="5386" w:type="dxa"/>
            <w:vAlign w:val="center"/>
          </w:tcPr>
          <w:p>
            <w:pPr>
              <w:pStyle w:val="14"/>
            </w:pPr>
            <w:r>
              <w:t>降雨期间泵站正常运转后路面积水深度小于或等于20厘米</w:t>
            </w:r>
          </w:p>
        </w:tc>
        <w:tc>
          <w:tcPr>
            <w:tcW w:w="2268" w:type="dxa"/>
            <w:vAlign w:val="center"/>
          </w:tcPr>
          <w:p>
            <w:pPr>
              <w:pStyle w:val="14"/>
            </w:pPr>
            <w:r>
              <w:t>≤20厘米</w:t>
            </w:r>
          </w:p>
        </w:tc>
        <w:tc>
          <w:tcPr>
            <w:tcW w:w="1276" w:type="dxa"/>
            <w:vAlign w:val="center"/>
          </w:tcPr>
          <w:p>
            <w:pPr>
              <w:pStyle w:val="14"/>
            </w:pPr>
            <w:r>
              <w:t>根据排水量及路面集水面积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排水时间</w:t>
            </w:r>
          </w:p>
        </w:tc>
        <w:tc>
          <w:tcPr>
            <w:tcW w:w="5386" w:type="dxa"/>
            <w:vAlign w:val="center"/>
          </w:tcPr>
          <w:p>
            <w:pPr>
              <w:pStyle w:val="14"/>
            </w:pPr>
            <w:r>
              <w:t>定期4至6小时排出集水井内反水，雨天随时保持正常排水</w:t>
            </w:r>
          </w:p>
        </w:tc>
        <w:tc>
          <w:tcPr>
            <w:tcW w:w="2268" w:type="dxa"/>
            <w:vAlign w:val="center"/>
          </w:tcPr>
          <w:p>
            <w:pPr>
              <w:pStyle w:val="14"/>
            </w:pPr>
            <w:r>
              <w:t>1年</w:t>
            </w:r>
          </w:p>
        </w:tc>
        <w:tc>
          <w:tcPr>
            <w:tcW w:w="1276" w:type="dxa"/>
            <w:vAlign w:val="center"/>
          </w:tcPr>
          <w:p>
            <w:pPr>
              <w:pStyle w:val="14"/>
            </w:pPr>
            <w:r>
              <w:t>根据集水井内积水情况及路面积水情况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李大线立交排水泵站日常工作经费实际成本与计划成本的比例</w:t>
            </w:r>
          </w:p>
        </w:tc>
        <w:tc>
          <w:tcPr>
            <w:tcW w:w="2268" w:type="dxa"/>
            <w:vAlign w:val="center"/>
          </w:tcPr>
          <w:p>
            <w:pPr>
              <w:pStyle w:val="14"/>
            </w:pPr>
            <w:r>
              <w:t>≤100%</w:t>
            </w:r>
          </w:p>
        </w:tc>
        <w:tc>
          <w:tcPr>
            <w:tcW w:w="1276" w:type="dxa"/>
            <w:vAlign w:val="center"/>
          </w:tcPr>
          <w:p>
            <w:pPr>
              <w:pStyle w:val="14"/>
            </w:pPr>
            <w:r>
              <w:t>实际成本与计划成本的比例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安全通行率</w:t>
            </w:r>
          </w:p>
        </w:tc>
        <w:tc>
          <w:tcPr>
            <w:tcW w:w="5386" w:type="dxa"/>
            <w:vAlign w:val="center"/>
          </w:tcPr>
          <w:p>
            <w:pPr>
              <w:pStyle w:val="14"/>
            </w:pPr>
            <w:r>
              <w:t>李大线立交桥道路安全畅通，桥下无积水</w:t>
            </w:r>
          </w:p>
        </w:tc>
        <w:tc>
          <w:tcPr>
            <w:tcW w:w="2268" w:type="dxa"/>
            <w:vAlign w:val="center"/>
          </w:tcPr>
          <w:p>
            <w:pPr>
              <w:pStyle w:val="14"/>
            </w:pPr>
            <w:r>
              <w:t>≥95%</w:t>
            </w:r>
          </w:p>
        </w:tc>
        <w:tc>
          <w:tcPr>
            <w:tcW w:w="1276" w:type="dxa"/>
            <w:vAlign w:val="center"/>
          </w:tcPr>
          <w:p>
            <w:pPr>
              <w:pStyle w:val="14"/>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降低安全事故率</w:t>
            </w:r>
          </w:p>
        </w:tc>
        <w:tc>
          <w:tcPr>
            <w:tcW w:w="5386" w:type="dxa"/>
            <w:vAlign w:val="center"/>
          </w:tcPr>
          <w:p>
            <w:pPr>
              <w:pStyle w:val="14"/>
            </w:pPr>
            <w:r>
              <w:t>因桥下积水发生安全事故</w:t>
            </w:r>
          </w:p>
        </w:tc>
        <w:tc>
          <w:tcPr>
            <w:tcW w:w="2268" w:type="dxa"/>
            <w:vAlign w:val="center"/>
          </w:tcPr>
          <w:p>
            <w:pPr>
              <w:pStyle w:val="14"/>
            </w:pPr>
            <w:r>
              <w:t>≤1起</w:t>
            </w:r>
          </w:p>
        </w:tc>
        <w:tc>
          <w:tcPr>
            <w:tcW w:w="1276" w:type="dxa"/>
            <w:vAlign w:val="center"/>
          </w:tcPr>
          <w:p>
            <w:pPr>
              <w:pStyle w:val="14"/>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周边群众满意度</w:t>
            </w:r>
          </w:p>
        </w:tc>
        <w:tc>
          <w:tcPr>
            <w:tcW w:w="5386" w:type="dxa"/>
            <w:vAlign w:val="center"/>
          </w:tcPr>
          <w:p>
            <w:pPr>
              <w:pStyle w:val="14"/>
            </w:pPr>
            <w:r>
              <w:t>周边群众对李大线排水泵站日常排水工作综合满意度</w:t>
            </w:r>
          </w:p>
        </w:tc>
        <w:tc>
          <w:tcPr>
            <w:tcW w:w="2268" w:type="dxa"/>
            <w:vAlign w:val="center"/>
          </w:tcPr>
          <w:p>
            <w:pPr>
              <w:pStyle w:val="14"/>
            </w:pPr>
            <w:r>
              <w:t>≥90%</w:t>
            </w:r>
          </w:p>
        </w:tc>
        <w:tc>
          <w:tcPr>
            <w:tcW w:w="1276" w:type="dxa"/>
            <w:vAlign w:val="center"/>
          </w:tcPr>
          <w:p>
            <w:pPr>
              <w:pStyle w:val="14"/>
            </w:pPr>
            <w:r>
              <w:t>通过对周边群众走访、座谈并发放调查问卷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12、农村公路日常养护保洁（含大气污染防治）绩效目标表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13102824P003436104588</w:t>
            </w:r>
          </w:p>
        </w:tc>
        <w:tc>
          <w:tcPr>
            <w:tcW w:w="2835" w:type="dxa"/>
            <w:vAlign w:val="center"/>
          </w:tcPr>
          <w:p>
            <w:pPr>
              <w:pStyle w:val="12"/>
            </w:pPr>
            <w:r>
              <w:t>项目名称</w:t>
            </w:r>
          </w:p>
        </w:tc>
        <w:tc>
          <w:tcPr>
            <w:tcW w:w="6094" w:type="dxa"/>
            <w:gridSpan w:val="3"/>
            <w:vAlign w:val="center"/>
          </w:tcPr>
          <w:p>
            <w:pPr>
              <w:pStyle w:val="14"/>
            </w:pPr>
            <w:r>
              <w:t>农村公路日常养护保洁（含大气污染防治）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110.00</w:t>
            </w:r>
          </w:p>
        </w:tc>
        <w:tc>
          <w:tcPr>
            <w:tcW w:w="2835" w:type="dxa"/>
            <w:vAlign w:val="center"/>
          </w:tcPr>
          <w:p>
            <w:pPr>
              <w:pStyle w:val="12"/>
            </w:pPr>
            <w:r>
              <w:t>其中：财政    资金</w:t>
            </w:r>
          </w:p>
        </w:tc>
        <w:tc>
          <w:tcPr>
            <w:tcW w:w="2551" w:type="dxa"/>
            <w:vAlign w:val="center"/>
          </w:tcPr>
          <w:p>
            <w:pPr>
              <w:pStyle w:val="14"/>
            </w:pPr>
            <w:r>
              <w:t>110.00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农村公路日常养护保洁经费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1.通过实施以机械化清扫保洁、洒水降尘为主，人工清扫保洁为辅的农村公路养护模式，提升道路养护质量，减少道路二次扬尘污染大气，改善农村公路路域环境，营造良好的道路通行环</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日常养护里程</w:t>
            </w:r>
          </w:p>
        </w:tc>
        <w:tc>
          <w:tcPr>
            <w:tcW w:w="5386" w:type="dxa"/>
            <w:vAlign w:val="center"/>
          </w:tcPr>
          <w:p>
            <w:pPr>
              <w:pStyle w:val="14"/>
            </w:pPr>
            <w:r>
              <w:t>对列养58.243公里农村公路实施日常养护清扫保洁和大气污染防治</w:t>
            </w:r>
          </w:p>
        </w:tc>
        <w:tc>
          <w:tcPr>
            <w:tcW w:w="2268" w:type="dxa"/>
            <w:vAlign w:val="center"/>
          </w:tcPr>
          <w:p>
            <w:pPr>
              <w:pStyle w:val="14"/>
            </w:pPr>
            <w:r>
              <w:t>58.24公里</w:t>
            </w:r>
          </w:p>
        </w:tc>
        <w:tc>
          <w:tcPr>
            <w:tcW w:w="1276" w:type="dxa"/>
            <w:vAlign w:val="center"/>
          </w:tcPr>
          <w:p>
            <w:pPr>
              <w:pStyle w:val="14"/>
            </w:pPr>
            <w:r>
              <w:t>根据列养县乡及重点道路里程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每天养护完成时间</w:t>
            </w:r>
          </w:p>
        </w:tc>
        <w:tc>
          <w:tcPr>
            <w:tcW w:w="5386" w:type="dxa"/>
            <w:vAlign w:val="center"/>
          </w:tcPr>
          <w:p>
            <w:pPr>
              <w:pStyle w:val="14"/>
            </w:pPr>
            <w:r>
              <w:t>每天安排人员、设备实施道路日常养护保洁</w:t>
            </w:r>
          </w:p>
        </w:tc>
        <w:tc>
          <w:tcPr>
            <w:tcW w:w="2268" w:type="dxa"/>
            <w:vAlign w:val="center"/>
          </w:tcPr>
          <w:p>
            <w:pPr>
              <w:pStyle w:val="14"/>
            </w:pPr>
            <w:r>
              <w:t>≥8小时</w:t>
            </w:r>
          </w:p>
        </w:tc>
        <w:tc>
          <w:tcPr>
            <w:tcW w:w="1276" w:type="dxa"/>
            <w:vAlign w:val="center"/>
          </w:tcPr>
          <w:p>
            <w:pPr>
              <w:pStyle w:val="14"/>
            </w:pPr>
            <w:r>
              <w:t>《农村公路养护技术规范》（JTG/T5190—2019）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路面清扫整洁率</w:t>
            </w:r>
          </w:p>
        </w:tc>
        <w:tc>
          <w:tcPr>
            <w:tcW w:w="5386" w:type="dxa"/>
            <w:vAlign w:val="center"/>
          </w:tcPr>
          <w:p>
            <w:pPr>
              <w:pStyle w:val="14"/>
            </w:pPr>
            <w:r>
              <w:t>路面整洁占列养道路比例</w:t>
            </w:r>
          </w:p>
        </w:tc>
        <w:tc>
          <w:tcPr>
            <w:tcW w:w="2268" w:type="dxa"/>
            <w:vAlign w:val="center"/>
          </w:tcPr>
          <w:p>
            <w:pPr>
              <w:pStyle w:val="14"/>
            </w:pPr>
            <w:r>
              <w:t>≥90%</w:t>
            </w:r>
          </w:p>
        </w:tc>
        <w:tc>
          <w:tcPr>
            <w:tcW w:w="1276" w:type="dxa"/>
            <w:vAlign w:val="center"/>
          </w:tcPr>
          <w:p>
            <w:pPr>
              <w:pStyle w:val="14"/>
            </w:pPr>
            <w:r>
              <w:t>《农村公路养护技术规范》（JTG/T 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养护工作业达标率</w:t>
            </w:r>
          </w:p>
        </w:tc>
        <w:tc>
          <w:tcPr>
            <w:tcW w:w="5386" w:type="dxa"/>
            <w:vAlign w:val="center"/>
          </w:tcPr>
          <w:p>
            <w:pPr>
              <w:pStyle w:val="14"/>
            </w:pPr>
            <w:r>
              <w:t>公路养护工作符合相关规范要求</w:t>
            </w:r>
          </w:p>
        </w:tc>
        <w:tc>
          <w:tcPr>
            <w:tcW w:w="2268" w:type="dxa"/>
            <w:vAlign w:val="center"/>
          </w:tcPr>
          <w:p>
            <w:pPr>
              <w:pStyle w:val="14"/>
            </w:pPr>
            <w:r>
              <w:t>100%</w:t>
            </w:r>
          </w:p>
        </w:tc>
        <w:tc>
          <w:tcPr>
            <w:tcW w:w="1276" w:type="dxa"/>
            <w:vAlign w:val="center"/>
          </w:tcPr>
          <w:p>
            <w:pPr>
              <w:pStyle w:val="14"/>
            </w:pPr>
            <w:r>
              <w:t>养护技术规范》（JTG/T5190—2019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农村公路养护及时性</w:t>
            </w:r>
          </w:p>
        </w:tc>
        <w:tc>
          <w:tcPr>
            <w:tcW w:w="5386" w:type="dxa"/>
            <w:vAlign w:val="center"/>
          </w:tcPr>
          <w:p>
            <w:pPr>
              <w:pStyle w:val="14"/>
            </w:pPr>
            <w:r>
              <w:t>农村公路养护工作在规定时间内完成</w:t>
            </w:r>
          </w:p>
        </w:tc>
        <w:tc>
          <w:tcPr>
            <w:tcW w:w="2268" w:type="dxa"/>
            <w:vAlign w:val="center"/>
          </w:tcPr>
          <w:p>
            <w:pPr>
              <w:pStyle w:val="14"/>
            </w:pPr>
            <w:r>
              <w:t>100及时</w:t>
            </w:r>
          </w:p>
        </w:tc>
        <w:tc>
          <w:tcPr>
            <w:tcW w:w="1276" w:type="dxa"/>
            <w:vAlign w:val="center"/>
          </w:tcPr>
          <w:p>
            <w:pPr>
              <w:pStyle w:val="14"/>
            </w:pPr>
            <w:r>
              <w:t>《农村公路养护技术规范》（JTG/T 5190—2019）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实际支出不超成本</w:t>
            </w:r>
          </w:p>
        </w:tc>
        <w:tc>
          <w:tcPr>
            <w:tcW w:w="2268" w:type="dxa"/>
            <w:vAlign w:val="center"/>
          </w:tcPr>
          <w:p>
            <w:pPr>
              <w:pStyle w:val="14"/>
            </w:pPr>
            <w:r>
              <w:t>≤100%</w:t>
            </w:r>
          </w:p>
        </w:tc>
        <w:tc>
          <w:tcPr>
            <w:tcW w:w="1276" w:type="dxa"/>
            <w:vAlign w:val="center"/>
          </w:tcPr>
          <w:p>
            <w:pPr>
              <w:pStyle w:val="14"/>
            </w:pPr>
            <w:r>
              <w:t>河北省建筑工程预算书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路面整洁程度提升率</w:t>
            </w:r>
          </w:p>
        </w:tc>
        <w:tc>
          <w:tcPr>
            <w:tcW w:w="5386" w:type="dxa"/>
            <w:vAlign w:val="center"/>
          </w:tcPr>
          <w:p>
            <w:pPr>
              <w:pStyle w:val="14"/>
            </w:pPr>
            <w:r>
              <w:t>项目的实施较上年对路面干净整洁的提升效果显著</w:t>
            </w:r>
          </w:p>
        </w:tc>
        <w:tc>
          <w:tcPr>
            <w:tcW w:w="2268" w:type="dxa"/>
            <w:vAlign w:val="center"/>
          </w:tcPr>
          <w:p>
            <w:pPr>
              <w:pStyle w:val="14"/>
            </w:pPr>
            <w:r>
              <w:t>≥10%</w:t>
            </w:r>
          </w:p>
        </w:tc>
        <w:tc>
          <w:tcPr>
            <w:tcW w:w="1276" w:type="dxa"/>
            <w:vAlign w:val="center"/>
          </w:tcPr>
          <w:p>
            <w:pPr>
              <w:pStyle w:val="14"/>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道路扬尘下降率</w:t>
            </w:r>
          </w:p>
        </w:tc>
        <w:tc>
          <w:tcPr>
            <w:tcW w:w="5386" w:type="dxa"/>
            <w:vAlign w:val="center"/>
          </w:tcPr>
          <w:p>
            <w:pPr>
              <w:pStyle w:val="14"/>
            </w:pPr>
            <w:r>
              <w:t>路面清扫、洒水降尘，防止二次扬尘污染空气下降比率</w:t>
            </w:r>
          </w:p>
        </w:tc>
        <w:tc>
          <w:tcPr>
            <w:tcW w:w="2268" w:type="dxa"/>
            <w:vAlign w:val="center"/>
          </w:tcPr>
          <w:p>
            <w:pPr>
              <w:pStyle w:val="14"/>
            </w:pPr>
            <w:r>
              <w:t>≥90%</w:t>
            </w:r>
          </w:p>
        </w:tc>
        <w:tc>
          <w:tcPr>
            <w:tcW w:w="1276" w:type="dxa"/>
            <w:vAlign w:val="center"/>
          </w:tcPr>
          <w:p>
            <w:pPr>
              <w:pStyle w:val="14"/>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农村公路日常养护清洁维持时限</w:t>
            </w:r>
          </w:p>
        </w:tc>
        <w:tc>
          <w:tcPr>
            <w:tcW w:w="5386" w:type="dxa"/>
            <w:vAlign w:val="center"/>
          </w:tcPr>
          <w:p>
            <w:pPr>
              <w:pStyle w:val="14"/>
            </w:pPr>
            <w:r>
              <w:t>及时解决农村公路日常养护清洁，持续性维持道路清洁</w:t>
            </w:r>
          </w:p>
        </w:tc>
        <w:tc>
          <w:tcPr>
            <w:tcW w:w="2268" w:type="dxa"/>
            <w:vAlign w:val="center"/>
          </w:tcPr>
          <w:p>
            <w:pPr>
              <w:pStyle w:val="14"/>
            </w:pPr>
            <w:r>
              <w:t>1年</w:t>
            </w:r>
          </w:p>
        </w:tc>
        <w:tc>
          <w:tcPr>
            <w:tcW w:w="1276" w:type="dxa"/>
            <w:vAlign w:val="center"/>
          </w:tcPr>
          <w:p>
            <w:pPr>
              <w:pStyle w:val="14"/>
            </w:pPr>
            <w:r>
              <w:t>道路日常巡查记录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沿线群众满意度</w:t>
            </w:r>
          </w:p>
        </w:tc>
        <w:tc>
          <w:tcPr>
            <w:tcW w:w="5386" w:type="dxa"/>
            <w:vAlign w:val="center"/>
          </w:tcPr>
          <w:p>
            <w:pPr>
              <w:pStyle w:val="14"/>
            </w:pPr>
            <w:r>
              <w:t>群众对日常养护保洁作业综合满意度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13、农村公路养护工程县级配套资金绩效目标表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13102824P002814100257</w:t>
            </w:r>
          </w:p>
        </w:tc>
        <w:tc>
          <w:tcPr>
            <w:tcW w:w="2835" w:type="dxa"/>
            <w:vAlign w:val="center"/>
          </w:tcPr>
          <w:p>
            <w:pPr>
              <w:pStyle w:val="12"/>
            </w:pPr>
            <w:r>
              <w:t>项目名称</w:t>
            </w:r>
          </w:p>
        </w:tc>
        <w:tc>
          <w:tcPr>
            <w:tcW w:w="6094" w:type="dxa"/>
            <w:gridSpan w:val="3"/>
            <w:vAlign w:val="center"/>
          </w:tcPr>
          <w:p>
            <w:pPr>
              <w:pStyle w:val="14"/>
            </w:pPr>
            <w:r>
              <w:t>农村公路养护工程县级配套资金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w:t>
            </w:r>
          </w:p>
        </w:tc>
        <w:tc>
          <w:tcPr>
            <w:tcW w:w="2835" w:type="dxa"/>
            <w:vAlign w:val="center"/>
          </w:tcPr>
          <w:p>
            <w:pPr>
              <w:pStyle w:val="12"/>
            </w:pPr>
            <w:r>
              <w:t>其中：财政    资金</w:t>
            </w:r>
          </w:p>
        </w:tc>
        <w:tc>
          <w:tcPr>
            <w:tcW w:w="2551" w:type="dxa"/>
            <w:vAlign w:val="center"/>
          </w:tcPr>
          <w:p>
            <w:pPr>
              <w:pStyle w:val="14"/>
            </w:pPr>
            <w:r>
              <w:t>100.00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农村公路养护工程资金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1.完成农村道路改造提升项目费用支付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建设里程数</w:t>
            </w:r>
          </w:p>
        </w:tc>
        <w:tc>
          <w:tcPr>
            <w:tcW w:w="5386" w:type="dxa"/>
            <w:vAlign w:val="center"/>
          </w:tcPr>
          <w:p>
            <w:pPr>
              <w:pStyle w:val="14"/>
            </w:pPr>
            <w:r>
              <w:t>建设里程数</w:t>
            </w:r>
          </w:p>
        </w:tc>
        <w:tc>
          <w:tcPr>
            <w:tcW w:w="2268" w:type="dxa"/>
            <w:vAlign w:val="center"/>
          </w:tcPr>
          <w:p>
            <w:pPr>
              <w:pStyle w:val="14"/>
            </w:pPr>
            <w:r>
              <w:t>2.93公里</w:t>
            </w:r>
          </w:p>
        </w:tc>
        <w:tc>
          <w:tcPr>
            <w:tcW w:w="1276" w:type="dxa"/>
            <w:vAlign w:val="center"/>
          </w:tcPr>
          <w:p>
            <w:pPr>
              <w:pStyle w:val="14"/>
            </w:pPr>
            <w: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反映整体工程验收的质量合格情况</w:t>
            </w:r>
          </w:p>
        </w:tc>
        <w:tc>
          <w:tcPr>
            <w:tcW w:w="2268" w:type="dxa"/>
            <w:vAlign w:val="center"/>
          </w:tcPr>
          <w:p>
            <w:pPr>
              <w:pStyle w:val="14"/>
            </w:pPr>
            <w:r>
              <w:t>100%</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工程完成时间</w:t>
            </w:r>
          </w:p>
        </w:tc>
        <w:tc>
          <w:tcPr>
            <w:tcW w:w="5386" w:type="dxa"/>
            <w:vAlign w:val="center"/>
          </w:tcPr>
          <w:p>
            <w:pPr>
              <w:pStyle w:val="14"/>
            </w:pPr>
            <w:r>
              <w:t>反映工程完成时间</w:t>
            </w:r>
          </w:p>
        </w:tc>
        <w:tc>
          <w:tcPr>
            <w:tcW w:w="2268" w:type="dxa"/>
            <w:vAlign w:val="center"/>
          </w:tcPr>
          <w:p>
            <w:pPr>
              <w:pStyle w:val="14"/>
            </w:pPr>
            <w:r>
              <w:t>2024年11月底前</w:t>
            </w:r>
          </w:p>
          <w:p>
            <w:pPr>
              <w:pStyle w:val="14"/>
            </w:pPr>
          </w:p>
        </w:tc>
        <w:tc>
          <w:tcPr>
            <w:tcW w:w="1276" w:type="dxa"/>
            <w:vAlign w:val="center"/>
          </w:tcPr>
          <w:p>
            <w:pPr>
              <w:pStyle w:val="14"/>
            </w:pPr>
            <w:r>
              <w:t>已完工项目交工资料及《公路工程竣（交）工验收办法》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实际支出不超成本</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使用年限</w:t>
            </w:r>
          </w:p>
        </w:tc>
        <w:tc>
          <w:tcPr>
            <w:tcW w:w="5386" w:type="dxa"/>
            <w:vAlign w:val="center"/>
          </w:tcPr>
          <w:p>
            <w:pPr>
              <w:pStyle w:val="14"/>
            </w:pPr>
            <w:r>
              <w:t>使用年限</w:t>
            </w:r>
          </w:p>
        </w:tc>
        <w:tc>
          <w:tcPr>
            <w:tcW w:w="2268" w:type="dxa"/>
            <w:vAlign w:val="center"/>
          </w:tcPr>
          <w:p>
            <w:pPr>
              <w:pStyle w:val="14"/>
            </w:pPr>
            <w:r>
              <w:t>≥8年</w:t>
            </w:r>
          </w:p>
        </w:tc>
        <w:tc>
          <w:tcPr>
            <w:tcW w:w="1276" w:type="dxa"/>
            <w:vAlign w:val="center"/>
          </w:tcPr>
          <w:p>
            <w:pPr>
              <w:pStyle w:val="14"/>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项目实施保障率</w:t>
            </w:r>
          </w:p>
        </w:tc>
        <w:tc>
          <w:tcPr>
            <w:tcW w:w="5386" w:type="dxa"/>
            <w:vAlign w:val="center"/>
          </w:tcPr>
          <w:p>
            <w:pPr>
              <w:pStyle w:val="14"/>
            </w:pPr>
            <w:r>
              <w:t>保障项目经费支付</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14、通武线（原大香线）立交排水泵站运营费绩效目标表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13102824P00280910412T</w:t>
            </w:r>
          </w:p>
        </w:tc>
        <w:tc>
          <w:tcPr>
            <w:tcW w:w="2835" w:type="dxa"/>
            <w:vAlign w:val="center"/>
          </w:tcPr>
          <w:p>
            <w:pPr>
              <w:pStyle w:val="12"/>
            </w:pPr>
            <w:r>
              <w:t>项目名称</w:t>
            </w:r>
          </w:p>
        </w:tc>
        <w:tc>
          <w:tcPr>
            <w:tcW w:w="6094" w:type="dxa"/>
            <w:gridSpan w:val="3"/>
            <w:vAlign w:val="center"/>
          </w:tcPr>
          <w:p>
            <w:pPr>
              <w:pStyle w:val="14"/>
            </w:pPr>
            <w:r>
              <w:t>通武线（原大香线）立交排水泵站运营费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7.50</w:t>
            </w:r>
          </w:p>
        </w:tc>
        <w:tc>
          <w:tcPr>
            <w:tcW w:w="2835" w:type="dxa"/>
            <w:vAlign w:val="center"/>
          </w:tcPr>
          <w:p>
            <w:pPr>
              <w:pStyle w:val="12"/>
            </w:pPr>
            <w:r>
              <w:t>其中：财政    资金</w:t>
            </w:r>
          </w:p>
        </w:tc>
        <w:tc>
          <w:tcPr>
            <w:tcW w:w="2551" w:type="dxa"/>
            <w:vAlign w:val="center"/>
          </w:tcPr>
          <w:p>
            <w:pPr>
              <w:pStyle w:val="14"/>
            </w:pPr>
            <w:r>
              <w:t>7.50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通过项目的开展实现通武线公铁立交桥汛期及日常的排水工作与泵站管线维护设备维修，保证通武线立交排水泵站正常运转，确保大香线与京秦铁路的安全畅通。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1.通过项目的开展完成日常的排水工作与泵站管线维护设备维修，保证通武线立交排水泵站正常运转，确保通武线京秦铁路的安全畅通。</w:t>
            </w:r>
            <w:r>
              <w:tab/>
            </w:r>
            <w:r>
              <w:tab/>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养护排水泵</w:t>
            </w:r>
          </w:p>
          <w:p>
            <w:pPr>
              <w:pStyle w:val="14"/>
            </w:pPr>
            <w:r>
              <w:t>站座数</w:t>
            </w:r>
          </w:p>
        </w:tc>
        <w:tc>
          <w:tcPr>
            <w:tcW w:w="5386" w:type="dxa"/>
            <w:vAlign w:val="center"/>
          </w:tcPr>
          <w:p>
            <w:pPr>
              <w:pStyle w:val="14"/>
            </w:pPr>
            <w:r>
              <w:t>养护立交排水泵站数量</w:t>
            </w:r>
          </w:p>
        </w:tc>
        <w:tc>
          <w:tcPr>
            <w:tcW w:w="2268" w:type="dxa"/>
            <w:vAlign w:val="center"/>
          </w:tcPr>
          <w:p>
            <w:pPr>
              <w:pStyle w:val="14"/>
            </w:pPr>
            <w:r>
              <w:t>1座</w:t>
            </w:r>
          </w:p>
        </w:tc>
        <w:tc>
          <w:tcPr>
            <w:tcW w:w="1276" w:type="dxa"/>
            <w:vAlign w:val="center"/>
          </w:tcPr>
          <w:p>
            <w:pPr>
              <w:pStyle w:val="14"/>
            </w:pPr>
            <w:r>
              <w:t>《廊坊市普通干线公路日常养护工作管理规定》、《通武线立交桥排水泵站运营实施方案》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正常运转率</w:t>
            </w:r>
          </w:p>
        </w:tc>
        <w:tc>
          <w:tcPr>
            <w:tcW w:w="5386" w:type="dxa"/>
            <w:vAlign w:val="center"/>
          </w:tcPr>
          <w:p>
            <w:pPr>
              <w:pStyle w:val="14"/>
            </w:pPr>
            <w:r>
              <w:t>泵站正常运转天数/365天</w:t>
            </w:r>
          </w:p>
        </w:tc>
        <w:tc>
          <w:tcPr>
            <w:tcW w:w="2268" w:type="dxa"/>
            <w:vAlign w:val="center"/>
          </w:tcPr>
          <w:p>
            <w:pPr>
              <w:pStyle w:val="14"/>
            </w:pPr>
            <w:r>
              <w:t>100%</w:t>
            </w:r>
          </w:p>
        </w:tc>
        <w:tc>
          <w:tcPr>
            <w:tcW w:w="1276" w:type="dxa"/>
            <w:vAlign w:val="center"/>
          </w:tcPr>
          <w:p>
            <w:pPr>
              <w:pStyle w:val="14"/>
            </w:pPr>
            <w:r>
              <w:t>《廊坊市普通干线公路日常养护工作管理规定》、《通武线立交桥排水泵站运营实施方案》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泵站运行</w:t>
            </w:r>
          </w:p>
          <w:p>
            <w:pPr>
              <w:pStyle w:val="14"/>
            </w:pPr>
            <w:r>
              <w:t>时间</w:t>
            </w:r>
          </w:p>
        </w:tc>
        <w:tc>
          <w:tcPr>
            <w:tcW w:w="5386" w:type="dxa"/>
            <w:vAlign w:val="center"/>
          </w:tcPr>
          <w:p>
            <w:pPr>
              <w:pStyle w:val="14"/>
            </w:pPr>
            <w:r>
              <w:t>泵站正常运行时间</w:t>
            </w:r>
          </w:p>
        </w:tc>
        <w:tc>
          <w:tcPr>
            <w:tcW w:w="2268" w:type="dxa"/>
            <w:vAlign w:val="center"/>
          </w:tcPr>
          <w:p>
            <w:pPr>
              <w:pStyle w:val="14"/>
            </w:pPr>
            <w:r>
              <w:t>1年</w:t>
            </w:r>
          </w:p>
        </w:tc>
        <w:tc>
          <w:tcPr>
            <w:tcW w:w="1276" w:type="dxa"/>
            <w:vAlign w:val="center"/>
          </w:tcPr>
          <w:p>
            <w:pPr>
              <w:pStyle w:val="14"/>
            </w:pPr>
            <w:r>
              <w:t>《廊坊市普</w:t>
            </w:r>
          </w:p>
          <w:p>
            <w:pPr>
              <w:pStyle w:val="14"/>
            </w:pPr>
            <w:r>
              <w:t>通干线公路日常养护工作管理规定》、《通武线立交桥排水泵站运营实施方案》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实际支出不超预算</w:t>
            </w:r>
          </w:p>
        </w:tc>
        <w:tc>
          <w:tcPr>
            <w:tcW w:w="2268" w:type="dxa"/>
            <w:vAlign w:val="center"/>
          </w:tcPr>
          <w:p>
            <w:pPr>
              <w:pStyle w:val="14"/>
            </w:pPr>
            <w:r>
              <w:t>≤100%</w:t>
            </w:r>
          </w:p>
        </w:tc>
        <w:tc>
          <w:tcPr>
            <w:tcW w:w="1276" w:type="dxa"/>
            <w:vAlign w:val="center"/>
          </w:tcPr>
          <w:p>
            <w:pPr>
              <w:pStyle w:val="14"/>
            </w:pPr>
            <w:r>
              <w:t>历史数值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排水泵站</w:t>
            </w:r>
          </w:p>
          <w:p>
            <w:pPr>
              <w:pStyle w:val="14"/>
            </w:pPr>
            <w:r>
              <w:t>使用率</w:t>
            </w:r>
          </w:p>
        </w:tc>
        <w:tc>
          <w:tcPr>
            <w:tcW w:w="5386" w:type="dxa"/>
            <w:vAlign w:val="center"/>
          </w:tcPr>
          <w:p>
            <w:pPr>
              <w:pStyle w:val="14"/>
            </w:pPr>
            <w:r>
              <w:t>排水泵站使用</w:t>
            </w:r>
          </w:p>
        </w:tc>
        <w:tc>
          <w:tcPr>
            <w:tcW w:w="2268" w:type="dxa"/>
            <w:vAlign w:val="center"/>
          </w:tcPr>
          <w:p>
            <w:pPr>
              <w:pStyle w:val="14"/>
            </w:pPr>
            <w:r>
              <w:t>100%</w:t>
            </w:r>
          </w:p>
        </w:tc>
        <w:tc>
          <w:tcPr>
            <w:tcW w:w="1276" w:type="dxa"/>
            <w:vAlign w:val="center"/>
          </w:tcPr>
          <w:p>
            <w:pPr>
              <w:pStyle w:val="14"/>
            </w:pPr>
            <w:r>
              <w:t>《廊坊市普通干线公路日常养护工作管理规定》、《通武线立交桥排水泵站运营实施方案》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持续时长</w:t>
            </w:r>
          </w:p>
        </w:tc>
        <w:tc>
          <w:tcPr>
            <w:tcW w:w="5386" w:type="dxa"/>
            <w:vAlign w:val="center"/>
          </w:tcPr>
          <w:p>
            <w:pPr>
              <w:pStyle w:val="14"/>
            </w:pPr>
            <w:r>
              <w:t>项目持续发挥作用的年限</w:t>
            </w:r>
          </w:p>
        </w:tc>
        <w:tc>
          <w:tcPr>
            <w:tcW w:w="2268" w:type="dxa"/>
            <w:vAlign w:val="center"/>
          </w:tcPr>
          <w:p>
            <w:pPr>
              <w:pStyle w:val="14"/>
            </w:pPr>
            <w:r>
              <w:t>1年</w:t>
            </w:r>
          </w:p>
        </w:tc>
        <w:tc>
          <w:tcPr>
            <w:tcW w:w="1276" w:type="dxa"/>
            <w:vAlign w:val="center"/>
          </w:tcPr>
          <w:p>
            <w:pPr>
              <w:pStyle w:val="14"/>
            </w:pPr>
            <w:r>
              <w:t>《廊坊市普通干线公路日常养护工作管理规定》、《通武线立交桥排水泵站运营实施方案》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上级部门是否满意</w:t>
            </w:r>
          </w:p>
        </w:tc>
        <w:tc>
          <w:tcPr>
            <w:tcW w:w="2268" w:type="dxa"/>
            <w:vAlign w:val="center"/>
          </w:tcPr>
          <w:p>
            <w:pPr>
              <w:pStyle w:val="14"/>
            </w:pPr>
            <w:r>
              <w:t>100%</w:t>
            </w:r>
          </w:p>
        </w:tc>
        <w:tc>
          <w:tcPr>
            <w:tcW w:w="1276" w:type="dxa"/>
            <w:vAlign w:val="center"/>
          </w:tcPr>
          <w:p>
            <w:pPr>
              <w:pStyle w:val="14"/>
            </w:pPr>
            <w:r>
              <w:t>上级部门通报文件</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15、通武线及密涿高速公路大厂连接线（南段）、102国道绿化养护经费绩效目标表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13102824P002814100282</w:t>
            </w:r>
          </w:p>
        </w:tc>
        <w:tc>
          <w:tcPr>
            <w:tcW w:w="2835" w:type="dxa"/>
            <w:vAlign w:val="center"/>
          </w:tcPr>
          <w:p>
            <w:pPr>
              <w:pStyle w:val="12"/>
            </w:pPr>
            <w:r>
              <w:t>项目名称</w:t>
            </w:r>
          </w:p>
        </w:tc>
        <w:tc>
          <w:tcPr>
            <w:tcW w:w="6094" w:type="dxa"/>
            <w:gridSpan w:val="3"/>
            <w:vAlign w:val="center"/>
          </w:tcPr>
          <w:p>
            <w:pPr>
              <w:pStyle w:val="14"/>
            </w:pPr>
            <w:r>
              <w:t>通武线及密涿高速公路大厂连接线（南段）、102国道绿化养护经费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w:t>
            </w:r>
          </w:p>
        </w:tc>
        <w:tc>
          <w:tcPr>
            <w:tcW w:w="2835" w:type="dxa"/>
            <w:vAlign w:val="center"/>
          </w:tcPr>
          <w:p>
            <w:pPr>
              <w:pStyle w:val="12"/>
            </w:pPr>
            <w:r>
              <w:t>其中：财政    资金</w:t>
            </w:r>
          </w:p>
        </w:tc>
        <w:tc>
          <w:tcPr>
            <w:tcW w:w="2551" w:type="dxa"/>
            <w:vAlign w:val="center"/>
          </w:tcPr>
          <w:p>
            <w:pPr>
              <w:pStyle w:val="14"/>
            </w:pPr>
            <w:r>
              <w:t>30.00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通武线等绿化养护经费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1.通过合理安排绿植修剪、绿篱、整形、除草、涂白、施肥、打药灌溉等工作，提升大厂段公路绿美效果。</w:t>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绿化养护长度</w:t>
            </w:r>
          </w:p>
        </w:tc>
        <w:tc>
          <w:tcPr>
            <w:tcW w:w="5386" w:type="dxa"/>
            <w:vAlign w:val="center"/>
          </w:tcPr>
          <w:p>
            <w:pPr>
              <w:pStyle w:val="14"/>
            </w:pPr>
            <w:r>
              <w:t>绿化养护长度</w:t>
            </w:r>
          </w:p>
        </w:tc>
        <w:tc>
          <w:tcPr>
            <w:tcW w:w="2268" w:type="dxa"/>
            <w:vAlign w:val="center"/>
          </w:tcPr>
          <w:p>
            <w:pPr>
              <w:pStyle w:val="14"/>
            </w:pPr>
            <w:r>
              <w:t>21.82公里</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养护苗木存活率</w:t>
            </w:r>
          </w:p>
        </w:tc>
        <w:tc>
          <w:tcPr>
            <w:tcW w:w="5386" w:type="dxa"/>
            <w:vAlign w:val="center"/>
          </w:tcPr>
          <w:p>
            <w:pPr>
              <w:pStyle w:val="14"/>
            </w:pPr>
            <w:r>
              <w:t>存活苗木数量/苗木总数量*100%</w:t>
            </w:r>
          </w:p>
        </w:tc>
        <w:tc>
          <w:tcPr>
            <w:tcW w:w="2268" w:type="dxa"/>
            <w:vAlign w:val="center"/>
          </w:tcPr>
          <w:p>
            <w:pPr>
              <w:pStyle w:val="14"/>
            </w:pPr>
            <w:r>
              <w:t>≥85%</w:t>
            </w:r>
          </w:p>
        </w:tc>
        <w:tc>
          <w:tcPr>
            <w:tcW w:w="1276" w:type="dxa"/>
            <w:vAlign w:val="center"/>
          </w:tcPr>
          <w:p>
            <w:pPr>
              <w:pStyle w:val="14"/>
            </w:pPr>
            <w:r>
              <w:t>根据行业平均存活率标准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养护时间</w:t>
            </w:r>
          </w:p>
        </w:tc>
        <w:tc>
          <w:tcPr>
            <w:tcW w:w="5386" w:type="dxa"/>
            <w:vAlign w:val="center"/>
          </w:tcPr>
          <w:p>
            <w:pPr>
              <w:pStyle w:val="14"/>
            </w:pPr>
            <w:r>
              <w:t>12个月完成绿化养护</w:t>
            </w:r>
          </w:p>
        </w:tc>
        <w:tc>
          <w:tcPr>
            <w:tcW w:w="2268" w:type="dxa"/>
            <w:vAlign w:val="center"/>
          </w:tcPr>
          <w:p>
            <w:pPr>
              <w:pStyle w:val="14"/>
            </w:pPr>
            <w:r>
              <w:t>12个月</w:t>
            </w:r>
          </w:p>
        </w:tc>
        <w:tc>
          <w:tcPr>
            <w:tcW w:w="1276" w:type="dxa"/>
            <w:vAlign w:val="center"/>
          </w:tcPr>
          <w:p>
            <w:pPr>
              <w:pStyle w:val="14"/>
            </w:pPr>
            <w:r>
              <w:t>根据谨信工程造价咨询有限公司出具的《预算书》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绿化养护长度平均成本</w:t>
            </w:r>
          </w:p>
        </w:tc>
        <w:tc>
          <w:tcPr>
            <w:tcW w:w="5386" w:type="dxa"/>
            <w:vAlign w:val="center"/>
          </w:tcPr>
          <w:p>
            <w:pPr>
              <w:pStyle w:val="14"/>
            </w:pPr>
            <w:r>
              <w:t>绿化养护平均每公里成本</w:t>
            </w:r>
          </w:p>
        </w:tc>
        <w:tc>
          <w:tcPr>
            <w:tcW w:w="2268" w:type="dxa"/>
            <w:vAlign w:val="center"/>
          </w:tcPr>
          <w:p>
            <w:pPr>
              <w:pStyle w:val="14"/>
            </w:pPr>
            <w:r>
              <w:t>≤10.03万元/公里</w:t>
            </w:r>
          </w:p>
        </w:tc>
        <w:tc>
          <w:tcPr>
            <w:tcW w:w="1276" w:type="dxa"/>
            <w:vAlign w:val="center"/>
          </w:tcPr>
          <w:p>
            <w:pPr>
              <w:pStyle w:val="14"/>
            </w:pPr>
            <w:r>
              <w:t>根据谨信工程造价咨询有限公司出具的《预算书》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绿植覆盖率</w:t>
            </w:r>
          </w:p>
        </w:tc>
        <w:tc>
          <w:tcPr>
            <w:tcW w:w="5386" w:type="dxa"/>
            <w:vAlign w:val="center"/>
          </w:tcPr>
          <w:p>
            <w:pPr>
              <w:pStyle w:val="14"/>
            </w:pPr>
            <w:r>
              <w:t>反映项目的实施对公路段通行环境改善情况，及时对裸露地面进行补植</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持续改善区域内空气质量</w:t>
            </w:r>
          </w:p>
        </w:tc>
        <w:tc>
          <w:tcPr>
            <w:tcW w:w="5386" w:type="dxa"/>
            <w:vAlign w:val="center"/>
          </w:tcPr>
          <w:p>
            <w:pPr>
              <w:pStyle w:val="14"/>
            </w:pPr>
            <w:r>
              <w:t>持续改善区域内空气质量</w:t>
            </w:r>
          </w:p>
        </w:tc>
        <w:tc>
          <w:tcPr>
            <w:tcW w:w="2268" w:type="dxa"/>
            <w:vAlign w:val="center"/>
          </w:tcPr>
          <w:p>
            <w:pPr>
              <w:pStyle w:val="14"/>
            </w:pPr>
            <w:r>
              <w:t>≥3年</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过路人员满意度</w:t>
            </w:r>
          </w:p>
        </w:tc>
        <w:tc>
          <w:tcPr>
            <w:tcW w:w="5386" w:type="dxa"/>
            <w:vAlign w:val="center"/>
          </w:tcPr>
          <w:p>
            <w:pPr>
              <w:pStyle w:val="14"/>
            </w:pPr>
            <w:r>
              <w:t>反映过路人员满意度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16、通武线及密涿高速公路大厂连接线（南段）、102国道绿化养护经费绩效目标表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13102824P00343610464M</w:t>
            </w:r>
          </w:p>
        </w:tc>
        <w:tc>
          <w:tcPr>
            <w:tcW w:w="2835" w:type="dxa"/>
            <w:vAlign w:val="center"/>
          </w:tcPr>
          <w:p>
            <w:pPr>
              <w:pStyle w:val="12"/>
            </w:pPr>
            <w:r>
              <w:t>项目名称</w:t>
            </w:r>
          </w:p>
        </w:tc>
        <w:tc>
          <w:tcPr>
            <w:tcW w:w="6094" w:type="dxa"/>
            <w:gridSpan w:val="3"/>
            <w:vAlign w:val="center"/>
          </w:tcPr>
          <w:p>
            <w:pPr>
              <w:pStyle w:val="14"/>
            </w:pPr>
            <w:r>
              <w:t>通武线及密涿高速公路大厂连接线（南段）、102国道绿化养护经费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123.96</w:t>
            </w:r>
          </w:p>
        </w:tc>
        <w:tc>
          <w:tcPr>
            <w:tcW w:w="2835" w:type="dxa"/>
            <w:vAlign w:val="center"/>
          </w:tcPr>
          <w:p>
            <w:pPr>
              <w:pStyle w:val="12"/>
            </w:pPr>
            <w:r>
              <w:t>其中：财政    资金</w:t>
            </w:r>
          </w:p>
        </w:tc>
        <w:tc>
          <w:tcPr>
            <w:tcW w:w="2551" w:type="dxa"/>
            <w:vAlign w:val="center"/>
          </w:tcPr>
          <w:p>
            <w:pPr>
              <w:pStyle w:val="14"/>
            </w:pPr>
            <w:r>
              <w:t>123.96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通武线等绿化养护经费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1.通过合理安排绿植修剪、绿篱、整形、除草、涂白、施肥、打药灌溉等工作，提升大厂段公路绿美效果。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绿化养护长度</w:t>
            </w:r>
          </w:p>
        </w:tc>
        <w:tc>
          <w:tcPr>
            <w:tcW w:w="5386" w:type="dxa"/>
            <w:vAlign w:val="center"/>
          </w:tcPr>
          <w:p>
            <w:pPr>
              <w:pStyle w:val="14"/>
            </w:pPr>
            <w:r>
              <w:t>绿化养护长度</w:t>
            </w:r>
          </w:p>
        </w:tc>
        <w:tc>
          <w:tcPr>
            <w:tcW w:w="2268" w:type="dxa"/>
            <w:vAlign w:val="center"/>
          </w:tcPr>
          <w:p>
            <w:pPr>
              <w:pStyle w:val="14"/>
            </w:pPr>
            <w:r>
              <w:t>30.4公里</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养护苗木存活率</w:t>
            </w:r>
          </w:p>
        </w:tc>
        <w:tc>
          <w:tcPr>
            <w:tcW w:w="5386" w:type="dxa"/>
            <w:vAlign w:val="center"/>
          </w:tcPr>
          <w:p>
            <w:pPr>
              <w:pStyle w:val="14"/>
            </w:pPr>
            <w:r>
              <w:t>存活苗木数量/苗木总数量*100%</w:t>
            </w:r>
          </w:p>
        </w:tc>
        <w:tc>
          <w:tcPr>
            <w:tcW w:w="2268" w:type="dxa"/>
            <w:vAlign w:val="center"/>
          </w:tcPr>
          <w:p>
            <w:pPr>
              <w:pStyle w:val="14"/>
            </w:pPr>
            <w:r>
              <w:t>≥85%</w:t>
            </w:r>
          </w:p>
        </w:tc>
        <w:tc>
          <w:tcPr>
            <w:tcW w:w="1276" w:type="dxa"/>
            <w:vAlign w:val="center"/>
          </w:tcPr>
          <w:p>
            <w:pPr>
              <w:pStyle w:val="14"/>
            </w:pPr>
            <w:r>
              <w:t>根据行业平均存活率标准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养护时间</w:t>
            </w:r>
          </w:p>
        </w:tc>
        <w:tc>
          <w:tcPr>
            <w:tcW w:w="5386" w:type="dxa"/>
            <w:vAlign w:val="center"/>
          </w:tcPr>
          <w:p>
            <w:pPr>
              <w:pStyle w:val="14"/>
            </w:pPr>
            <w:r>
              <w:t>12个月完成绿化养护</w:t>
            </w:r>
          </w:p>
        </w:tc>
        <w:tc>
          <w:tcPr>
            <w:tcW w:w="2268" w:type="dxa"/>
            <w:vAlign w:val="center"/>
          </w:tcPr>
          <w:p>
            <w:pPr>
              <w:pStyle w:val="14"/>
            </w:pPr>
            <w:r>
              <w:t>12个月</w:t>
            </w:r>
          </w:p>
        </w:tc>
        <w:tc>
          <w:tcPr>
            <w:tcW w:w="1276" w:type="dxa"/>
            <w:vAlign w:val="center"/>
          </w:tcPr>
          <w:p>
            <w:pPr>
              <w:pStyle w:val="14"/>
            </w:pPr>
            <w:r>
              <w:t>根据谨信工程造价咨询有限公司出具的《预算书》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绿化养护长度平均成本</w:t>
            </w:r>
          </w:p>
        </w:tc>
        <w:tc>
          <w:tcPr>
            <w:tcW w:w="5386" w:type="dxa"/>
            <w:vAlign w:val="center"/>
          </w:tcPr>
          <w:p>
            <w:pPr>
              <w:pStyle w:val="14"/>
            </w:pPr>
            <w:r>
              <w:t>绿化养护平均每公里成本</w:t>
            </w:r>
          </w:p>
        </w:tc>
        <w:tc>
          <w:tcPr>
            <w:tcW w:w="2268" w:type="dxa"/>
            <w:vAlign w:val="center"/>
          </w:tcPr>
          <w:p>
            <w:pPr>
              <w:pStyle w:val="14"/>
            </w:pPr>
            <w:r>
              <w:t>≤10.03万元/公里</w:t>
            </w:r>
          </w:p>
        </w:tc>
        <w:tc>
          <w:tcPr>
            <w:tcW w:w="1276" w:type="dxa"/>
            <w:vAlign w:val="center"/>
          </w:tcPr>
          <w:p>
            <w:pPr>
              <w:pStyle w:val="14"/>
            </w:pPr>
            <w:r>
              <w:t>根据谨信工程造价咨询有限公司出具的《预算书》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绿植覆盖率</w:t>
            </w:r>
          </w:p>
        </w:tc>
        <w:tc>
          <w:tcPr>
            <w:tcW w:w="5386" w:type="dxa"/>
            <w:vAlign w:val="center"/>
          </w:tcPr>
          <w:p>
            <w:pPr>
              <w:pStyle w:val="14"/>
            </w:pPr>
            <w:r>
              <w:t>反映项目的实施对公路段通行环境改善情况，及时对裸露地面进行补植</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持续改善区域内空气质量</w:t>
            </w:r>
          </w:p>
        </w:tc>
        <w:tc>
          <w:tcPr>
            <w:tcW w:w="5386" w:type="dxa"/>
            <w:vAlign w:val="center"/>
          </w:tcPr>
          <w:p>
            <w:pPr>
              <w:pStyle w:val="14"/>
            </w:pPr>
            <w:r>
              <w:t>持续改善区域内空气质量</w:t>
            </w:r>
          </w:p>
        </w:tc>
        <w:tc>
          <w:tcPr>
            <w:tcW w:w="2268" w:type="dxa"/>
            <w:vAlign w:val="center"/>
          </w:tcPr>
          <w:p>
            <w:pPr>
              <w:pStyle w:val="14"/>
            </w:pPr>
            <w:r>
              <w:t>≥3年</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过路人员满意度</w:t>
            </w:r>
          </w:p>
        </w:tc>
        <w:tc>
          <w:tcPr>
            <w:tcW w:w="5386" w:type="dxa"/>
            <w:vAlign w:val="center"/>
          </w:tcPr>
          <w:p>
            <w:pPr>
              <w:pStyle w:val="14"/>
            </w:pPr>
            <w:r>
              <w:t>反映过路人员满意度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17、县域公交运营补贴绩效目标表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13102824P00281910016B</w:t>
            </w:r>
          </w:p>
        </w:tc>
        <w:tc>
          <w:tcPr>
            <w:tcW w:w="2835" w:type="dxa"/>
            <w:vAlign w:val="center"/>
          </w:tcPr>
          <w:p>
            <w:pPr>
              <w:pStyle w:val="12"/>
            </w:pPr>
            <w:r>
              <w:t>项目名称</w:t>
            </w:r>
          </w:p>
        </w:tc>
        <w:tc>
          <w:tcPr>
            <w:tcW w:w="6094" w:type="dxa"/>
            <w:gridSpan w:val="3"/>
            <w:vAlign w:val="center"/>
          </w:tcPr>
          <w:p>
            <w:pPr>
              <w:pStyle w:val="14"/>
            </w:pPr>
            <w:r>
              <w:t>县域公交运营补贴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711.00</w:t>
            </w:r>
          </w:p>
        </w:tc>
        <w:tc>
          <w:tcPr>
            <w:tcW w:w="2835" w:type="dxa"/>
            <w:vAlign w:val="center"/>
          </w:tcPr>
          <w:p>
            <w:pPr>
              <w:pStyle w:val="12"/>
            </w:pPr>
            <w:r>
              <w:t>其中：财政    资金</w:t>
            </w:r>
          </w:p>
        </w:tc>
        <w:tc>
          <w:tcPr>
            <w:tcW w:w="2551" w:type="dxa"/>
            <w:vAlign w:val="center"/>
          </w:tcPr>
          <w:p>
            <w:pPr>
              <w:pStyle w:val="14"/>
            </w:pPr>
            <w:r>
              <w:t>711.00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县域公交运营补贴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管理运营补贴项目缓解公司资金压力，调动职工积极性，保持职工队伍稳定，以此改善群众出行便利，能够满足群众生产生活需要，对增强城市公共交通承载能力和城市运行效率的提高有着积极的社会影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线路数量</w:t>
            </w:r>
          </w:p>
        </w:tc>
        <w:tc>
          <w:tcPr>
            <w:tcW w:w="5386" w:type="dxa"/>
            <w:vAlign w:val="center"/>
          </w:tcPr>
          <w:p>
            <w:pPr>
              <w:pStyle w:val="14"/>
            </w:pPr>
            <w:r>
              <w:t>公交运营线路数量</w:t>
            </w:r>
          </w:p>
        </w:tc>
        <w:tc>
          <w:tcPr>
            <w:tcW w:w="2268" w:type="dxa"/>
            <w:vAlign w:val="center"/>
          </w:tcPr>
          <w:p>
            <w:pPr>
              <w:pStyle w:val="14"/>
            </w:pPr>
            <w:r>
              <w:t>5条</w:t>
            </w:r>
          </w:p>
        </w:tc>
        <w:tc>
          <w:tcPr>
            <w:tcW w:w="1276" w:type="dxa"/>
            <w:vAlign w:val="center"/>
          </w:tcPr>
          <w:p>
            <w:pPr>
              <w:pStyle w:val="14"/>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补贴发放覆盖率</w:t>
            </w:r>
          </w:p>
        </w:tc>
        <w:tc>
          <w:tcPr>
            <w:tcW w:w="5386" w:type="dxa"/>
            <w:vAlign w:val="center"/>
          </w:tcPr>
          <w:p>
            <w:pPr>
              <w:pStyle w:val="14"/>
            </w:pPr>
            <w:r>
              <w:t>公交补贴发放覆盖率</w:t>
            </w:r>
          </w:p>
        </w:tc>
        <w:tc>
          <w:tcPr>
            <w:tcW w:w="2268" w:type="dxa"/>
            <w:vAlign w:val="center"/>
          </w:tcPr>
          <w:p>
            <w:pPr>
              <w:pStyle w:val="14"/>
            </w:pPr>
            <w:r>
              <w:t>100%</w:t>
            </w:r>
          </w:p>
        </w:tc>
        <w:tc>
          <w:tcPr>
            <w:tcW w:w="1276" w:type="dxa"/>
            <w:vAlign w:val="center"/>
          </w:tcPr>
          <w:p>
            <w:pPr>
              <w:pStyle w:val="14"/>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补贴发放时间</w:t>
            </w:r>
          </w:p>
        </w:tc>
        <w:tc>
          <w:tcPr>
            <w:tcW w:w="5386" w:type="dxa"/>
            <w:vAlign w:val="center"/>
          </w:tcPr>
          <w:p>
            <w:pPr>
              <w:pStyle w:val="14"/>
            </w:pPr>
            <w:r>
              <w:t>公交补贴发放时间</w:t>
            </w:r>
          </w:p>
        </w:tc>
        <w:tc>
          <w:tcPr>
            <w:tcW w:w="2268" w:type="dxa"/>
            <w:vAlign w:val="center"/>
          </w:tcPr>
          <w:p>
            <w:pPr>
              <w:pStyle w:val="14"/>
            </w:pPr>
            <w:r>
              <w:t>按月拨付</w:t>
            </w:r>
          </w:p>
        </w:tc>
        <w:tc>
          <w:tcPr>
            <w:tcW w:w="1276" w:type="dxa"/>
            <w:vAlign w:val="center"/>
          </w:tcPr>
          <w:p>
            <w:pPr>
              <w:pStyle w:val="14"/>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实际支出不超成本</w:t>
            </w:r>
          </w:p>
        </w:tc>
        <w:tc>
          <w:tcPr>
            <w:tcW w:w="2268" w:type="dxa"/>
            <w:vAlign w:val="center"/>
          </w:tcPr>
          <w:p>
            <w:pPr>
              <w:pStyle w:val="14"/>
            </w:pPr>
            <w:r>
              <w:t>≤100%</w:t>
            </w:r>
          </w:p>
        </w:tc>
        <w:tc>
          <w:tcPr>
            <w:tcW w:w="1276" w:type="dxa"/>
            <w:vAlign w:val="center"/>
          </w:tcPr>
          <w:p>
            <w:pPr>
              <w:pStyle w:val="14"/>
            </w:pPr>
            <w:r>
              <w:t>协议文件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正常运转率</w:t>
            </w:r>
          </w:p>
        </w:tc>
        <w:tc>
          <w:tcPr>
            <w:tcW w:w="5386" w:type="dxa"/>
            <w:vAlign w:val="center"/>
          </w:tcPr>
          <w:p>
            <w:pPr>
              <w:pStyle w:val="14"/>
            </w:pPr>
            <w:r>
              <w:t>公交运行正常</w:t>
            </w:r>
          </w:p>
        </w:tc>
        <w:tc>
          <w:tcPr>
            <w:tcW w:w="2268" w:type="dxa"/>
            <w:vAlign w:val="center"/>
          </w:tcPr>
          <w:p>
            <w:pPr>
              <w:pStyle w:val="14"/>
            </w:pPr>
            <w:r>
              <w:t>≥95%</w:t>
            </w:r>
          </w:p>
        </w:tc>
        <w:tc>
          <w:tcPr>
            <w:tcW w:w="1276" w:type="dxa"/>
            <w:vAlign w:val="center"/>
          </w:tcPr>
          <w:p>
            <w:pPr>
              <w:pStyle w:val="14"/>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乘客投诉率</w:t>
            </w:r>
          </w:p>
        </w:tc>
        <w:tc>
          <w:tcPr>
            <w:tcW w:w="5386" w:type="dxa"/>
            <w:vAlign w:val="center"/>
          </w:tcPr>
          <w:p>
            <w:pPr>
              <w:pStyle w:val="14"/>
            </w:pPr>
            <w:r>
              <w:t>公交运营乘客投诉率</w:t>
            </w:r>
          </w:p>
        </w:tc>
        <w:tc>
          <w:tcPr>
            <w:tcW w:w="2268" w:type="dxa"/>
            <w:vAlign w:val="center"/>
          </w:tcPr>
          <w:p>
            <w:pPr>
              <w:pStyle w:val="14"/>
            </w:pPr>
            <w:r>
              <w:t>≤1%</w:t>
            </w:r>
          </w:p>
        </w:tc>
        <w:tc>
          <w:tcPr>
            <w:tcW w:w="1276" w:type="dxa"/>
            <w:vAlign w:val="center"/>
          </w:tcPr>
          <w:p>
            <w:pPr>
              <w:pStyle w:val="14"/>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正常通行时间</w:t>
            </w:r>
          </w:p>
        </w:tc>
        <w:tc>
          <w:tcPr>
            <w:tcW w:w="5386" w:type="dxa"/>
            <w:vAlign w:val="center"/>
          </w:tcPr>
          <w:p>
            <w:pPr>
              <w:pStyle w:val="14"/>
            </w:pPr>
            <w:r>
              <w:t>持续发挥作用的年限</w:t>
            </w:r>
          </w:p>
        </w:tc>
        <w:tc>
          <w:tcPr>
            <w:tcW w:w="2268" w:type="dxa"/>
            <w:vAlign w:val="center"/>
          </w:tcPr>
          <w:p>
            <w:pPr>
              <w:pStyle w:val="14"/>
            </w:pPr>
            <w:r>
              <w:t>长期</w:t>
            </w:r>
          </w:p>
        </w:tc>
        <w:tc>
          <w:tcPr>
            <w:tcW w:w="1276" w:type="dxa"/>
            <w:vAlign w:val="center"/>
          </w:tcPr>
          <w:p>
            <w:pPr>
              <w:pStyle w:val="14"/>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乘客满意度</w:t>
            </w:r>
          </w:p>
        </w:tc>
        <w:tc>
          <w:tcPr>
            <w:tcW w:w="5386" w:type="dxa"/>
            <w:vAlign w:val="center"/>
          </w:tcPr>
          <w:p>
            <w:pPr>
              <w:pStyle w:val="14"/>
            </w:pPr>
            <w:r>
              <w:t>乘客满意度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18、县域公交运营补贴绩效目标表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13102824P00281910017Y</w:t>
            </w:r>
          </w:p>
        </w:tc>
        <w:tc>
          <w:tcPr>
            <w:tcW w:w="2835" w:type="dxa"/>
            <w:vAlign w:val="center"/>
          </w:tcPr>
          <w:p>
            <w:pPr>
              <w:pStyle w:val="12"/>
            </w:pPr>
            <w:r>
              <w:t>项目名称</w:t>
            </w:r>
          </w:p>
        </w:tc>
        <w:tc>
          <w:tcPr>
            <w:tcW w:w="6094" w:type="dxa"/>
            <w:gridSpan w:val="3"/>
            <w:vAlign w:val="center"/>
          </w:tcPr>
          <w:p>
            <w:pPr>
              <w:pStyle w:val="14"/>
            </w:pPr>
            <w:r>
              <w:t>县域公交运营补贴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355.00</w:t>
            </w:r>
          </w:p>
        </w:tc>
        <w:tc>
          <w:tcPr>
            <w:tcW w:w="2835" w:type="dxa"/>
            <w:vAlign w:val="center"/>
          </w:tcPr>
          <w:p>
            <w:pPr>
              <w:pStyle w:val="12"/>
            </w:pPr>
            <w:r>
              <w:t>其中：财政    资金</w:t>
            </w:r>
          </w:p>
        </w:tc>
        <w:tc>
          <w:tcPr>
            <w:tcW w:w="2551" w:type="dxa"/>
            <w:vAlign w:val="center"/>
          </w:tcPr>
          <w:p>
            <w:pPr>
              <w:pStyle w:val="14"/>
            </w:pPr>
            <w:r>
              <w:t>355.00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通过管理运营补贴项目缓解公司资金压力，调动职工积极性，保持职工队伍稳定，以此改善群众出行便利，能够满足群众生产生活需要，对增强城市公共交通承载能力和城市运行效率的提高有着积极的社会影响。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管理运营补贴项目缓解公司资金压力，调动职工积极性，保持职工队伍稳定，以此改善群众出行便利，能够满足群众生产生活需要，对增强城市公共交通承载能力和城市运行效率的提高有着积极的社会影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线路数量</w:t>
            </w:r>
          </w:p>
        </w:tc>
        <w:tc>
          <w:tcPr>
            <w:tcW w:w="5386" w:type="dxa"/>
            <w:vAlign w:val="center"/>
          </w:tcPr>
          <w:p>
            <w:pPr>
              <w:pStyle w:val="14"/>
            </w:pPr>
            <w:r>
              <w:t>公交运营线路数量</w:t>
            </w:r>
          </w:p>
        </w:tc>
        <w:tc>
          <w:tcPr>
            <w:tcW w:w="2268" w:type="dxa"/>
            <w:vAlign w:val="center"/>
          </w:tcPr>
          <w:p>
            <w:pPr>
              <w:pStyle w:val="14"/>
            </w:pPr>
            <w:r>
              <w:t>5条</w:t>
            </w:r>
          </w:p>
        </w:tc>
        <w:tc>
          <w:tcPr>
            <w:tcW w:w="1276" w:type="dxa"/>
            <w:vAlign w:val="center"/>
          </w:tcPr>
          <w:p>
            <w:pPr>
              <w:pStyle w:val="14"/>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补贴发放覆盖率</w:t>
            </w:r>
          </w:p>
        </w:tc>
        <w:tc>
          <w:tcPr>
            <w:tcW w:w="5386" w:type="dxa"/>
            <w:vAlign w:val="center"/>
          </w:tcPr>
          <w:p>
            <w:pPr>
              <w:pStyle w:val="14"/>
            </w:pPr>
            <w:r>
              <w:t>公交运营补贴发放覆盖率</w:t>
            </w:r>
          </w:p>
        </w:tc>
        <w:tc>
          <w:tcPr>
            <w:tcW w:w="2268" w:type="dxa"/>
            <w:vAlign w:val="center"/>
          </w:tcPr>
          <w:p>
            <w:pPr>
              <w:pStyle w:val="14"/>
            </w:pPr>
            <w:r>
              <w:t>100%</w:t>
            </w:r>
          </w:p>
        </w:tc>
        <w:tc>
          <w:tcPr>
            <w:tcW w:w="1276" w:type="dxa"/>
            <w:vAlign w:val="center"/>
          </w:tcPr>
          <w:p>
            <w:pPr>
              <w:pStyle w:val="14"/>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补贴发放时间</w:t>
            </w:r>
          </w:p>
        </w:tc>
        <w:tc>
          <w:tcPr>
            <w:tcW w:w="5386" w:type="dxa"/>
            <w:vAlign w:val="center"/>
          </w:tcPr>
          <w:p>
            <w:pPr>
              <w:pStyle w:val="14"/>
            </w:pPr>
            <w:r>
              <w:t>公交补贴发放时间</w:t>
            </w:r>
          </w:p>
        </w:tc>
        <w:tc>
          <w:tcPr>
            <w:tcW w:w="2268" w:type="dxa"/>
            <w:vAlign w:val="center"/>
          </w:tcPr>
          <w:p>
            <w:pPr>
              <w:pStyle w:val="14"/>
            </w:pPr>
            <w:r>
              <w:t>按月拨付</w:t>
            </w:r>
          </w:p>
        </w:tc>
        <w:tc>
          <w:tcPr>
            <w:tcW w:w="1276" w:type="dxa"/>
            <w:vAlign w:val="center"/>
          </w:tcPr>
          <w:p>
            <w:pPr>
              <w:pStyle w:val="14"/>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实际支出不超成本</w:t>
            </w:r>
          </w:p>
        </w:tc>
        <w:tc>
          <w:tcPr>
            <w:tcW w:w="2268" w:type="dxa"/>
            <w:vAlign w:val="center"/>
          </w:tcPr>
          <w:p>
            <w:pPr>
              <w:pStyle w:val="14"/>
            </w:pPr>
            <w:r>
              <w:t>≤100%</w:t>
            </w:r>
          </w:p>
        </w:tc>
        <w:tc>
          <w:tcPr>
            <w:tcW w:w="1276" w:type="dxa"/>
            <w:vAlign w:val="center"/>
          </w:tcPr>
          <w:p>
            <w:pPr>
              <w:pStyle w:val="14"/>
            </w:pPr>
            <w:r>
              <w:t>协议文件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正常运转率</w:t>
            </w:r>
          </w:p>
        </w:tc>
        <w:tc>
          <w:tcPr>
            <w:tcW w:w="5386" w:type="dxa"/>
            <w:vAlign w:val="center"/>
          </w:tcPr>
          <w:p>
            <w:pPr>
              <w:pStyle w:val="14"/>
            </w:pPr>
            <w:r>
              <w:t>公交正常运转</w:t>
            </w:r>
          </w:p>
        </w:tc>
        <w:tc>
          <w:tcPr>
            <w:tcW w:w="2268" w:type="dxa"/>
            <w:vAlign w:val="center"/>
          </w:tcPr>
          <w:p>
            <w:pPr>
              <w:pStyle w:val="14"/>
            </w:pPr>
            <w:r>
              <w:t>100%</w:t>
            </w:r>
          </w:p>
        </w:tc>
        <w:tc>
          <w:tcPr>
            <w:tcW w:w="1276" w:type="dxa"/>
            <w:vAlign w:val="center"/>
          </w:tcPr>
          <w:p>
            <w:pPr>
              <w:pStyle w:val="14"/>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乘客投诉率</w:t>
            </w:r>
          </w:p>
        </w:tc>
        <w:tc>
          <w:tcPr>
            <w:tcW w:w="5386" w:type="dxa"/>
            <w:vAlign w:val="center"/>
          </w:tcPr>
          <w:p>
            <w:pPr>
              <w:pStyle w:val="14"/>
            </w:pPr>
            <w:r>
              <w:t>乘客投诉率</w:t>
            </w:r>
          </w:p>
        </w:tc>
        <w:tc>
          <w:tcPr>
            <w:tcW w:w="2268" w:type="dxa"/>
            <w:vAlign w:val="center"/>
          </w:tcPr>
          <w:p>
            <w:pPr>
              <w:pStyle w:val="14"/>
            </w:pPr>
            <w:r>
              <w:t>≤1%</w:t>
            </w:r>
          </w:p>
        </w:tc>
        <w:tc>
          <w:tcPr>
            <w:tcW w:w="1276" w:type="dxa"/>
            <w:vAlign w:val="center"/>
          </w:tcPr>
          <w:p>
            <w:pPr>
              <w:pStyle w:val="14"/>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正常通行时间</w:t>
            </w:r>
          </w:p>
        </w:tc>
        <w:tc>
          <w:tcPr>
            <w:tcW w:w="5386" w:type="dxa"/>
            <w:vAlign w:val="center"/>
          </w:tcPr>
          <w:p>
            <w:pPr>
              <w:pStyle w:val="14"/>
            </w:pPr>
            <w:r>
              <w:t>持续发挥作用的年限</w:t>
            </w:r>
          </w:p>
        </w:tc>
        <w:tc>
          <w:tcPr>
            <w:tcW w:w="2268" w:type="dxa"/>
            <w:vAlign w:val="center"/>
          </w:tcPr>
          <w:p>
            <w:pPr>
              <w:pStyle w:val="14"/>
            </w:pPr>
            <w:r>
              <w:t>长期</w:t>
            </w:r>
          </w:p>
        </w:tc>
        <w:tc>
          <w:tcPr>
            <w:tcW w:w="1276" w:type="dxa"/>
            <w:vAlign w:val="center"/>
          </w:tcPr>
          <w:p>
            <w:pPr>
              <w:pStyle w:val="14"/>
            </w:pPr>
            <w:r>
              <w:t>《大厂回族自治县人民政府常务会议纪要》（第十六届第七十一次）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乘客满意度</w:t>
            </w:r>
          </w:p>
        </w:tc>
        <w:tc>
          <w:tcPr>
            <w:tcW w:w="5386" w:type="dxa"/>
            <w:vAlign w:val="center"/>
          </w:tcPr>
          <w:p>
            <w:pPr>
              <w:pStyle w:val="14"/>
            </w:pPr>
            <w:r>
              <w:t>乘客满意度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19、燕郊迎宾路南延至大厂观潮路（大厂段）建设项目绩效目标表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13102824P00281410026T</w:t>
            </w:r>
          </w:p>
        </w:tc>
        <w:tc>
          <w:tcPr>
            <w:tcW w:w="2835" w:type="dxa"/>
            <w:vAlign w:val="center"/>
          </w:tcPr>
          <w:p>
            <w:pPr>
              <w:pStyle w:val="12"/>
            </w:pPr>
            <w:r>
              <w:t>项目名称</w:t>
            </w:r>
          </w:p>
        </w:tc>
        <w:tc>
          <w:tcPr>
            <w:tcW w:w="6094" w:type="dxa"/>
            <w:gridSpan w:val="3"/>
            <w:vAlign w:val="center"/>
          </w:tcPr>
          <w:p>
            <w:pPr>
              <w:pStyle w:val="14"/>
            </w:pPr>
            <w:r>
              <w:t>燕郊迎宾路南延至大厂观潮路（大厂段）建设项目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w:t>
            </w:r>
          </w:p>
        </w:tc>
        <w:tc>
          <w:tcPr>
            <w:tcW w:w="2835" w:type="dxa"/>
            <w:vAlign w:val="center"/>
          </w:tcPr>
          <w:p>
            <w:pPr>
              <w:pStyle w:val="12"/>
            </w:pPr>
            <w:r>
              <w:t>其中：财政    资金</w:t>
            </w:r>
          </w:p>
        </w:tc>
        <w:tc>
          <w:tcPr>
            <w:tcW w:w="2551" w:type="dxa"/>
            <w:vAlign w:val="center"/>
          </w:tcPr>
          <w:p>
            <w:pPr>
              <w:pStyle w:val="14"/>
            </w:pPr>
            <w:r>
              <w:t>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燕郊迎宾路南延至大厂观潮路工程款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1.完成燕郊迎宾路南延至大厂观潮路（大厂段）建设项目建设费用支付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支付完成率</w:t>
            </w:r>
          </w:p>
        </w:tc>
        <w:tc>
          <w:tcPr>
            <w:tcW w:w="5386" w:type="dxa"/>
            <w:vAlign w:val="center"/>
          </w:tcPr>
          <w:p>
            <w:pPr>
              <w:pStyle w:val="14"/>
            </w:pPr>
            <w:r>
              <w:t>反映资金支付进度</w:t>
            </w:r>
          </w:p>
        </w:tc>
        <w:tc>
          <w:tcPr>
            <w:tcW w:w="2268" w:type="dxa"/>
            <w:vAlign w:val="center"/>
          </w:tcPr>
          <w:p>
            <w:pPr>
              <w:pStyle w:val="14"/>
            </w:pPr>
            <w:r>
              <w:t>1元</w:t>
            </w:r>
          </w:p>
        </w:tc>
        <w:tc>
          <w:tcPr>
            <w:tcW w:w="1276" w:type="dxa"/>
            <w:vAlign w:val="center"/>
          </w:tcPr>
          <w:p>
            <w:pPr>
              <w:pStyle w:val="14"/>
            </w:pPr>
            <w:r>
              <w:t>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反映整体工程验收的质量合格情况</w:t>
            </w:r>
          </w:p>
        </w:tc>
        <w:tc>
          <w:tcPr>
            <w:tcW w:w="2268" w:type="dxa"/>
            <w:vAlign w:val="center"/>
          </w:tcPr>
          <w:p>
            <w:pPr>
              <w:pStyle w:val="14"/>
            </w:pPr>
            <w:r>
              <w:t>100比率</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完成及时率</w:t>
            </w:r>
          </w:p>
        </w:tc>
        <w:tc>
          <w:tcPr>
            <w:tcW w:w="5386" w:type="dxa"/>
            <w:vAlign w:val="center"/>
          </w:tcPr>
          <w:p>
            <w:pPr>
              <w:pStyle w:val="14"/>
            </w:pPr>
            <w:r>
              <w:t>反映项目施工在计划周期内完成的情况</w:t>
            </w:r>
          </w:p>
        </w:tc>
        <w:tc>
          <w:tcPr>
            <w:tcW w:w="2268" w:type="dxa"/>
            <w:vAlign w:val="center"/>
          </w:tcPr>
          <w:p>
            <w:pPr>
              <w:pStyle w:val="14"/>
            </w:pPr>
            <w:r>
              <w:t>10月</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年度拨付工程款的成本控制情况</w:t>
            </w:r>
          </w:p>
        </w:tc>
        <w:tc>
          <w:tcPr>
            <w:tcW w:w="2268" w:type="dxa"/>
            <w:vAlign w:val="center"/>
          </w:tcPr>
          <w:p>
            <w:pPr>
              <w:pStyle w:val="14"/>
            </w:pPr>
            <w:r>
              <w:t>≤100比率</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完善区域路网规划及用地规划的需要</w:t>
            </w:r>
          </w:p>
        </w:tc>
        <w:tc>
          <w:tcPr>
            <w:tcW w:w="5386" w:type="dxa"/>
            <w:vAlign w:val="center"/>
          </w:tcPr>
          <w:p>
            <w:pPr>
              <w:pStyle w:val="14"/>
            </w:pPr>
            <w:r>
              <w:t>完善我县县域路网的体现</w:t>
            </w:r>
          </w:p>
        </w:tc>
        <w:tc>
          <w:tcPr>
            <w:tcW w:w="2268" w:type="dxa"/>
            <w:vAlign w:val="center"/>
          </w:tcPr>
          <w:p>
            <w:pPr>
              <w:pStyle w:val="14"/>
            </w:pPr>
            <w:r>
              <w:t>完善</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道路使用年限</w:t>
            </w:r>
          </w:p>
        </w:tc>
        <w:tc>
          <w:tcPr>
            <w:tcW w:w="5386" w:type="dxa"/>
            <w:vAlign w:val="center"/>
          </w:tcPr>
          <w:p>
            <w:pPr>
              <w:pStyle w:val="14"/>
            </w:pPr>
            <w:r>
              <w:t>道路使用年限</w:t>
            </w:r>
          </w:p>
        </w:tc>
        <w:tc>
          <w:tcPr>
            <w:tcW w:w="2268" w:type="dxa"/>
            <w:vAlign w:val="center"/>
          </w:tcPr>
          <w:p>
            <w:pPr>
              <w:pStyle w:val="14"/>
            </w:pPr>
            <w:r>
              <w:t>&gt;8年</w:t>
            </w:r>
          </w:p>
        </w:tc>
        <w:tc>
          <w:tcPr>
            <w:tcW w:w="1276" w:type="dxa"/>
            <w:vAlign w:val="center"/>
          </w:tcPr>
          <w:p>
            <w:pPr>
              <w:pStyle w:val="14"/>
            </w:pPr>
            <w:r>
              <w:t>设计文件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≥90%</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20、治超补助经费县级配套资金绩效目标表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13102824P00281111218T</w:t>
            </w:r>
          </w:p>
        </w:tc>
        <w:tc>
          <w:tcPr>
            <w:tcW w:w="2835" w:type="dxa"/>
            <w:vAlign w:val="center"/>
          </w:tcPr>
          <w:p>
            <w:pPr>
              <w:pStyle w:val="12"/>
            </w:pPr>
            <w:r>
              <w:t>项目名称</w:t>
            </w:r>
          </w:p>
        </w:tc>
        <w:tc>
          <w:tcPr>
            <w:tcW w:w="6094" w:type="dxa"/>
            <w:gridSpan w:val="3"/>
            <w:vAlign w:val="center"/>
          </w:tcPr>
          <w:p>
            <w:pPr>
              <w:pStyle w:val="14"/>
            </w:pPr>
            <w:r>
              <w:t>治超补助经费县级配套资金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15.00</w:t>
            </w:r>
          </w:p>
        </w:tc>
        <w:tc>
          <w:tcPr>
            <w:tcW w:w="2835" w:type="dxa"/>
            <w:vAlign w:val="center"/>
          </w:tcPr>
          <w:p>
            <w:pPr>
              <w:pStyle w:val="12"/>
            </w:pPr>
            <w:r>
              <w:t>其中：财政    资金</w:t>
            </w:r>
          </w:p>
        </w:tc>
        <w:tc>
          <w:tcPr>
            <w:tcW w:w="2551" w:type="dxa"/>
            <w:vAlign w:val="center"/>
          </w:tcPr>
          <w:p>
            <w:pPr>
              <w:pStyle w:val="14"/>
            </w:pPr>
            <w:r>
              <w:t>15.00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治超补助经费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1.通过项目的开展实现综合执法大队人员工作秩序和各项工作的完好运行等战略，保障加大交通执法力度，实现对交通违法车辆有效管控的工作目标。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联合治超站</w:t>
            </w:r>
          </w:p>
        </w:tc>
        <w:tc>
          <w:tcPr>
            <w:tcW w:w="5386" w:type="dxa"/>
            <w:vAlign w:val="center"/>
          </w:tcPr>
          <w:p>
            <w:pPr>
              <w:pStyle w:val="14"/>
            </w:pPr>
            <w:r>
              <w:t>联合治超站</w:t>
            </w:r>
          </w:p>
        </w:tc>
        <w:tc>
          <w:tcPr>
            <w:tcW w:w="2268" w:type="dxa"/>
            <w:vAlign w:val="center"/>
          </w:tcPr>
          <w:p>
            <w:pPr>
              <w:pStyle w:val="14"/>
            </w:pPr>
            <w:r>
              <w:t>1个</w:t>
            </w:r>
          </w:p>
        </w:tc>
        <w:tc>
          <w:tcPr>
            <w:tcW w:w="1276" w:type="dxa"/>
            <w:vAlign w:val="center"/>
          </w:tcPr>
          <w:p>
            <w:pPr>
              <w:pStyle w:val="14"/>
            </w:pPr>
            <w:r>
              <w:t>冀交公[2017]230号廊路（2017）18号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执法车辆及其他正常运转率</w:t>
            </w:r>
          </w:p>
        </w:tc>
        <w:tc>
          <w:tcPr>
            <w:tcW w:w="5386" w:type="dxa"/>
            <w:vAlign w:val="center"/>
          </w:tcPr>
          <w:p>
            <w:pPr>
              <w:pStyle w:val="14"/>
            </w:pPr>
            <w:r>
              <w:t>执法车辆正常运转/365</w:t>
            </w:r>
          </w:p>
        </w:tc>
        <w:tc>
          <w:tcPr>
            <w:tcW w:w="2268" w:type="dxa"/>
            <w:vAlign w:val="center"/>
          </w:tcPr>
          <w:p>
            <w:pPr>
              <w:pStyle w:val="14"/>
            </w:pPr>
            <w:r>
              <w:t>100%</w:t>
            </w:r>
          </w:p>
        </w:tc>
        <w:tc>
          <w:tcPr>
            <w:tcW w:w="1276" w:type="dxa"/>
            <w:vAlign w:val="center"/>
          </w:tcPr>
          <w:p>
            <w:pPr>
              <w:pStyle w:val="14"/>
            </w:pPr>
            <w:r>
              <w:t>《公路超限检测站管理办法》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完成及时率</w:t>
            </w:r>
          </w:p>
        </w:tc>
        <w:tc>
          <w:tcPr>
            <w:tcW w:w="5386" w:type="dxa"/>
            <w:vAlign w:val="center"/>
          </w:tcPr>
          <w:p>
            <w:pPr>
              <w:pStyle w:val="14"/>
            </w:pPr>
            <w:r>
              <w:t>设备维修、更新及时性，有效保证联合治超站正常运转</w:t>
            </w:r>
          </w:p>
        </w:tc>
        <w:tc>
          <w:tcPr>
            <w:tcW w:w="2268" w:type="dxa"/>
            <w:vAlign w:val="center"/>
          </w:tcPr>
          <w:p>
            <w:pPr>
              <w:pStyle w:val="14"/>
            </w:pPr>
            <w:r>
              <w:t>100%</w:t>
            </w:r>
          </w:p>
        </w:tc>
        <w:tc>
          <w:tcPr>
            <w:tcW w:w="1276" w:type="dxa"/>
            <w:vAlign w:val="center"/>
          </w:tcPr>
          <w:p>
            <w:pPr>
              <w:pStyle w:val="14"/>
            </w:pPr>
            <w:r>
              <w:t>维修审批单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超预算比例</w:t>
            </w:r>
          </w:p>
        </w:tc>
        <w:tc>
          <w:tcPr>
            <w:tcW w:w="5386" w:type="dxa"/>
            <w:vAlign w:val="center"/>
          </w:tcPr>
          <w:p>
            <w:pPr>
              <w:pStyle w:val="14"/>
            </w:pPr>
            <w:r>
              <w:t>（实际支付资金-预算资金）/预算资金*100%</w:t>
            </w:r>
          </w:p>
        </w:tc>
        <w:tc>
          <w:tcPr>
            <w:tcW w:w="2268" w:type="dxa"/>
            <w:vAlign w:val="center"/>
          </w:tcPr>
          <w:p>
            <w:pPr>
              <w:pStyle w:val="14"/>
            </w:pPr>
            <w:r>
              <w:t>0%</w:t>
            </w:r>
          </w:p>
        </w:tc>
        <w:tc>
          <w:tcPr>
            <w:tcW w:w="1276" w:type="dxa"/>
            <w:vAlign w:val="center"/>
          </w:tcPr>
          <w:p>
            <w:pPr>
              <w:pStyle w:val="14"/>
            </w:pPr>
            <w:r>
              <w:t>冀交公[2017]230号廊路（2017）18号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超限超载率</w:t>
            </w:r>
          </w:p>
        </w:tc>
        <w:tc>
          <w:tcPr>
            <w:tcW w:w="5386" w:type="dxa"/>
            <w:vAlign w:val="center"/>
          </w:tcPr>
          <w:p>
            <w:pPr>
              <w:pStyle w:val="14"/>
            </w:pPr>
            <w:r>
              <w:t>超限超载</w:t>
            </w:r>
          </w:p>
        </w:tc>
        <w:tc>
          <w:tcPr>
            <w:tcW w:w="2268" w:type="dxa"/>
            <w:vAlign w:val="center"/>
          </w:tcPr>
          <w:p>
            <w:pPr>
              <w:pStyle w:val="14"/>
            </w:pPr>
            <w:r>
              <w:t>≤0.5%</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维护公路正常使用年限</w:t>
            </w:r>
          </w:p>
        </w:tc>
        <w:tc>
          <w:tcPr>
            <w:tcW w:w="5386" w:type="dxa"/>
            <w:vAlign w:val="center"/>
          </w:tcPr>
          <w:p>
            <w:pPr>
              <w:pStyle w:val="14"/>
            </w:pPr>
            <w:r>
              <w:t>维护公路正常使用年限</w:t>
            </w:r>
          </w:p>
        </w:tc>
        <w:tc>
          <w:tcPr>
            <w:tcW w:w="2268" w:type="dxa"/>
            <w:vAlign w:val="center"/>
          </w:tcPr>
          <w:p>
            <w:pPr>
              <w:pStyle w:val="14"/>
            </w:pPr>
            <w:r>
              <w:t>8年</w:t>
            </w:r>
          </w:p>
        </w:tc>
        <w:tc>
          <w:tcPr>
            <w:tcW w:w="1276" w:type="dxa"/>
            <w:vAlign w:val="center"/>
          </w:tcPr>
          <w:p>
            <w:pPr>
              <w:pStyle w:val="14"/>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沿线群众满意度情况</w:t>
            </w:r>
          </w:p>
        </w:tc>
        <w:tc>
          <w:tcPr>
            <w:tcW w:w="2268" w:type="dxa"/>
            <w:vAlign w:val="center"/>
          </w:tcPr>
          <w:p>
            <w:pPr>
              <w:pStyle w:val="14"/>
            </w:pPr>
            <w:r>
              <w:t>≥90%</w:t>
            </w:r>
          </w:p>
        </w:tc>
        <w:tc>
          <w:tcPr>
            <w:tcW w:w="1276" w:type="dxa"/>
            <w:vAlign w:val="center"/>
          </w:tcPr>
          <w:p>
            <w:pPr>
              <w:pStyle w:val="14"/>
            </w:pPr>
            <w:r>
              <w:t>问卷调查</w:t>
            </w:r>
          </w:p>
          <w:p>
            <w:pPr>
              <w:pStyle w:val="14"/>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348001大厂回族自治县交通运输局</w:t>
            </w:r>
          </w:p>
        </w:tc>
        <w:tc>
          <w:tcPr>
            <w:tcW w:w="7710"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大厂回族自治县交通运输局小计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燕郊迎宾路南延至大厂观潮路（大厂段）建设项目</w:t>
            </w:r>
          </w:p>
        </w:tc>
        <w:tc>
          <w:tcPr>
            <w:tcW w:w="964" w:type="dxa"/>
            <w:vAlign w:val="center"/>
          </w:tcPr>
          <w:p>
            <w:pPr>
              <w:pStyle w:val="13"/>
            </w:pPr>
            <w:r>
              <w:t>1.00</w:t>
            </w:r>
          </w:p>
        </w:tc>
        <w:tc>
          <w:tcPr>
            <w:tcW w:w="1134" w:type="dxa"/>
            <w:vAlign w:val="center"/>
          </w:tcPr>
          <w:p>
            <w:pPr>
              <w:pStyle w:val="14"/>
            </w:pPr>
            <w:r>
              <w:t>其他工程准备</w:t>
            </w:r>
          </w:p>
        </w:tc>
        <w:tc>
          <w:tcPr>
            <w:tcW w:w="1134" w:type="dxa"/>
            <w:vAlign w:val="center"/>
          </w:tcPr>
          <w:p>
            <w:pPr>
              <w:pStyle w:val="14"/>
            </w:pPr>
            <w:r>
              <w:t>B03990000</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1.00</w:t>
            </w:r>
          </w:p>
        </w:tc>
        <w:tc>
          <w:tcPr>
            <w:tcW w:w="964"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大厂回族自治县交通运输局上年末固定资产金额为3382.26万元（详见下表）。本年度拟购置固定资产总额为0.00万元，已按要求列入政府采购预算，详见政府采购预算表。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348001大厂回族自治县交通运输局</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3382.26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1、房屋（平方米）</w:t>
            </w:r>
          </w:p>
        </w:tc>
        <w:tc>
          <w:tcPr>
            <w:tcW w:w="2835" w:type="dxa"/>
            <w:vAlign w:val="center"/>
          </w:tcPr>
          <w:p>
            <w:pPr>
              <w:pStyle w:val="15"/>
            </w:pPr>
            <w:r>
              <w:t>10542.15</w:t>
            </w:r>
          </w:p>
        </w:tc>
        <w:tc>
          <w:tcPr>
            <w:tcW w:w="2835" w:type="dxa"/>
            <w:vAlign w:val="center"/>
          </w:tcPr>
          <w:p>
            <w:pPr>
              <w:pStyle w:val="13"/>
            </w:pPr>
            <w:r>
              <w:t>1117.65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r>
              <w:t>3488.18</w:t>
            </w:r>
          </w:p>
        </w:tc>
        <w:tc>
          <w:tcPr>
            <w:tcW w:w="2835" w:type="dxa"/>
            <w:vAlign w:val="center"/>
          </w:tcPr>
          <w:p>
            <w:pPr>
              <w:pStyle w:val="13"/>
            </w:pPr>
            <w:r>
              <w:t>369.25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37</w:t>
            </w:r>
          </w:p>
        </w:tc>
        <w:tc>
          <w:tcPr>
            <w:tcW w:w="2835" w:type="dxa"/>
            <w:vAlign w:val="center"/>
          </w:tcPr>
          <w:p>
            <w:pPr>
              <w:pStyle w:val="13"/>
            </w:pPr>
            <w:r>
              <w:t>323.56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r>
              <w:t>30</w:t>
            </w:r>
          </w:p>
        </w:tc>
        <w:tc>
          <w:tcPr>
            <w:tcW w:w="2835" w:type="dxa"/>
            <w:vAlign w:val="center"/>
          </w:tcPr>
          <w:p>
            <w:pPr>
              <w:pStyle w:val="13"/>
            </w:pPr>
            <w:r>
              <w:t>1489.14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4"/>
            </w:pPr>
            <w:r>
              <w:t>4、其他固定资产</w:t>
            </w:r>
          </w:p>
        </w:tc>
        <w:tc>
          <w:tcPr>
            <w:tcW w:w="2835" w:type="dxa"/>
            <w:vAlign w:val="center"/>
          </w:tcPr>
          <w:p>
            <w:pPr>
              <w:pStyle w:val="15"/>
            </w:pPr>
            <w:r>
              <w:t>998</w:t>
            </w:r>
          </w:p>
        </w:tc>
        <w:tc>
          <w:tcPr>
            <w:tcW w:w="2835" w:type="dxa"/>
            <w:vAlign w:val="center"/>
          </w:tcPr>
          <w:p>
            <w:pPr>
              <w:pStyle w:val="13"/>
            </w:pPr>
            <w:r>
              <w:t>451.91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rPr>
          <w:rFonts w:hint="eastAsia" w:eastAsia="方正仿宋_GBK"/>
          <w:lang w:eastAsia="zh-CN"/>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r>
        <w:rPr>
          <w:rFonts w:hint="eastAsia" w:eastAsia="方正仿宋_GBK" w:cs="Times New Roman"/>
          <w:b w:val="0"/>
          <w:color w:val="000000"/>
          <w:sz w:val="28"/>
          <w:lang w:eastAsia="zh-CN"/>
        </w:rPr>
        <w:t>。</w:t>
      </w:r>
    </w:p>
    <w:p>
      <w:pPr>
        <w:spacing w:before="0" w:after="0" w:line="500" w:lineRule="exact"/>
        <w:jc w:val="left"/>
        <w:outlineLvl w:val="9"/>
      </w:pPr>
      <w:bookmarkStart w:id="1" w:name="_GoBack"/>
      <w:bookmarkEnd w:id="1"/>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39403C9"/>
    <w:rsid w:val="0B8F6A85"/>
    <w:rsid w:val="0EA51596"/>
    <w:rsid w:val="0ECB681F"/>
    <w:rsid w:val="154736BB"/>
    <w:rsid w:val="1FA4029F"/>
    <w:rsid w:val="232721BA"/>
    <w:rsid w:val="26CC1196"/>
    <w:rsid w:val="28AA2846"/>
    <w:rsid w:val="2FBF7DE5"/>
    <w:rsid w:val="34845AB5"/>
    <w:rsid w:val="3C4D7807"/>
    <w:rsid w:val="4728490E"/>
    <w:rsid w:val="4BC3063E"/>
    <w:rsid w:val="4D0549EA"/>
    <w:rsid w:val="4DD86F5E"/>
    <w:rsid w:val="4EDA10ED"/>
    <w:rsid w:val="62631AFA"/>
    <w:rsid w:val="65F74ED9"/>
    <w:rsid w:val="668C02DB"/>
    <w:rsid w:val="66C5682B"/>
    <w:rsid w:val="697D6921"/>
    <w:rsid w:val="6BE20085"/>
    <w:rsid w:val="751E0BB4"/>
    <w:rsid w:val="79C10AE7"/>
    <w:rsid w:val="7E135E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4">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4" Type="http://schemas.openxmlformats.org/officeDocument/2006/relationships/fontTable" Target="fontTable.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2024-02-20T09:40:51Z</dcterms:created>
  <dcterms:modified xsi:type="dcterms:W3CDTF">2024-02-20T01:40:51Z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2024-02-20T09:40:51Z</dcterms:created>
  <dcterms:modified xsi:type="dcterms:W3CDTF">2024-02-20T01:40:51Z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2024-02-20T09:40:52Z</dcterms:created>
  <dcterms:modified xsi:type="dcterms:W3CDTF">2024-02-20T01:40:52Z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2024-02-20T09:40:52Z</dcterms:created>
  <dcterms:modified xsi:type="dcterms:W3CDTF">2024-02-20T01:40:52Z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2024-02-20T09:40:50Z</dcterms:created>
  <dcterms:modified xsi:type="dcterms:W3CDTF">2024-02-20T01:40:50Z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2024-02-20T09:40:52Z</dcterms:created>
  <dcterms:modified xsi:type="dcterms:W3CDTF">2024-02-20T01:40:52Z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2024-02-20T09:40:53Z</dcterms:created>
  <dcterms:modified xsi:type="dcterms:W3CDTF">2024-02-20T01:40:53Z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2024-02-20T09:40:53Z</dcterms:created>
  <dcterms:modified xsi:type="dcterms:W3CDTF">2024-02-20T01:40:53Z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2024-02-20T09:40:53Z</dcterms:created>
  <dcterms:modified xsi:type="dcterms:W3CDTF">2024-02-20T01:40:53Z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2024-02-20T09:40:45Z</dcterms:created>
  <dcterms:modified xsi:type="dcterms:W3CDTF">2024-02-20T01:40:45Z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2024-02-20T09:40:54Z</dcterms:created>
  <dcterms:modified xsi:type="dcterms:W3CDTF">2024-02-20T01:40:54Z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2024-02-20T09:40:54Z</dcterms:created>
  <dcterms:modified xsi:type="dcterms:W3CDTF">2024-02-20T01:40:54Z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2024-02-20T09:40:55Z</dcterms:created>
  <dcterms:modified xsi:type="dcterms:W3CDTF">2024-02-20T01:40:55Z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2024-02-20T09:40:55Z</dcterms:created>
  <dcterms:modified xsi:type="dcterms:W3CDTF">2024-02-20T01:40:55Z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2024-02-20T09:40:55Z</dcterms:created>
  <dcterms:modified xsi:type="dcterms:W3CDTF">2024-02-20T01:40:55Z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2024-02-20T09:40:27Z</dcterms:created>
  <dcterms:modified xsi:type="dcterms:W3CDTF">2024-02-20T01:40:27Z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2024-02-20T09:40:56Z</dcterms:created>
  <dcterms:modified xsi:type="dcterms:W3CDTF">2024-02-20T01:40:56Z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2024-02-20T09:40:56Z</dcterms:created>
  <dcterms:modified xsi:type="dcterms:W3CDTF">2024-02-20T01:40:56Z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2024-02-20T09:40:57Z</dcterms:created>
  <dcterms:modified xsi:type="dcterms:W3CDTF">2024-02-20T01:40:57Z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2024-02-20T09:41:01Z</dcterms:created>
  <dcterms:modified xsi:type="dcterms:W3CDTF">2024-02-20T01:41:01Z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2024-02-20T09:41:01Z</dcterms:created>
  <dcterms:modified xsi:type="dcterms:W3CDTF">2024-02-20T01:41:01Z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2024-02-20T09:40:49Z</dcterms:created>
  <dcterms:modified xsi:type="dcterms:W3CDTF">2024-02-20T01:40:49Z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2024-02-20T09:41:15Z</dcterms:created>
  <dcterms:modified xsi:type="dcterms:W3CDTF">2024-02-20T01:41:15Z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2024-02-20T09:41:16Z</dcterms:created>
  <dcterms:modified xsi:type="dcterms:W3CDTF">2024-02-20T01:41:16Z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2024-02-20T09:41:20Z</dcterms:created>
  <dcterms:modified xsi:type="dcterms:W3CDTF">2024-02-20T01:41:20Z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2024-02-20T09:41:21Z</dcterms:created>
  <dcterms:modified xsi:type="dcterms:W3CDTF">2024-02-20T01:41:21Z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2024-02-20T09:40:50Z</dcterms:created>
  <dcterms:modified xsi:type="dcterms:W3CDTF">2024-02-20T01:40:50Z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2024-02-20T09:40:50Z</dcterms:created>
  <dcterms:modified xsi:type="dcterms:W3CDTF">2024-02-20T01:40:50Z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2024-02-20T09:40:51Z</dcterms:created>
  <dcterms:modified xsi:type="dcterms:W3CDTF">2024-02-20T01:40:51Z</dcterms:modified>
</cp:coreProperties>
</file>

<file path=customXml/itemProps1.xml><?xml version="1.0" encoding="utf-8"?>
<ds:datastoreItem xmlns:ds="http://schemas.openxmlformats.org/officeDocument/2006/customXml" ds:itemID="{6072cd49-742f-4f71-be91-749d91795efe}">
  <ds:schemaRefs/>
</ds:datastoreItem>
</file>

<file path=customXml/itemProps10.xml><?xml version="1.0" encoding="utf-8"?>
<ds:datastoreItem xmlns:ds="http://schemas.openxmlformats.org/officeDocument/2006/customXml" ds:itemID="{1ff1deaf-3efe-4edb-b842-48fad4d4d5ae}">
  <ds:schemaRefs/>
</ds:datastoreItem>
</file>

<file path=customXml/itemProps11.xml><?xml version="1.0" encoding="utf-8"?>
<ds:datastoreItem xmlns:ds="http://schemas.openxmlformats.org/officeDocument/2006/customXml" ds:itemID="{c8a8633f-dce5-4e0a-ba82-af722b7fa331}">
  <ds:schemaRefs/>
</ds:datastoreItem>
</file>

<file path=customXml/itemProps12.xml><?xml version="1.0" encoding="utf-8"?>
<ds:datastoreItem xmlns:ds="http://schemas.openxmlformats.org/officeDocument/2006/customXml" ds:itemID="{dd86f051-626f-44ce-89bb-422bb3f77072}">
  <ds:schemaRefs/>
</ds:datastoreItem>
</file>

<file path=customXml/itemProps13.xml><?xml version="1.0" encoding="utf-8"?>
<ds:datastoreItem xmlns:ds="http://schemas.openxmlformats.org/officeDocument/2006/customXml" ds:itemID="{429371c5-1595-460d-921d-e678c3d42060}">
  <ds:schemaRefs/>
</ds:datastoreItem>
</file>

<file path=customXml/itemProps14.xml><?xml version="1.0" encoding="utf-8"?>
<ds:datastoreItem xmlns:ds="http://schemas.openxmlformats.org/officeDocument/2006/customXml" ds:itemID="{bcd70286-19a6-4d87-8dfd-1e0a8d780b06}">
  <ds:schemaRefs/>
</ds:datastoreItem>
</file>

<file path=customXml/itemProps15.xml><?xml version="1.0" encoding="utf-8"?>
<ds:datastoreItem xmlns:ds="http://schemas.openxmlformats.org/officeDocument/2006/customXml" ds:itemID="{18130f1a-b701-4bc9-a09e-7944233c400c}">
  <ds:schemaRefs/>
</ds:datastoreItem>
</file>

<file path=customXml/itemProps16.xml><?xml version="1.0" encoding="utf-8"?>
<ds:datastoreItem xmlns:ds="http://schemas.openxmlformats.org/officeDocument/2006/customXml" ds:itemID="{ffd6b13a-372b-4e98-93d2-b501e4de6a41}">
  <ds:schemaRefs/>
</ds:datastoreItem>
</file>

<file path=customXml/itemProps17.xml><?xml version="1.0" encoding="utf-8"?>
<ds:datastoreItem xmlns:ds="http://schemas.openxmlformats.org/officeDocument/2006/customXml" ds:itemID="{b7093a6f-7add-4e79-9968-3a8cd2f3995f}">
  <ds:schemaRefs/>
</ds:datastoreItem>
</file>

<file path=customXml/itemProps18.xml><?xml version="1.0" encoding="utf-8"?>
<ds:datastoreItem xmlns:ds="http://schemas.openxmlformats.org/officeDocument/2006/customXml" ds:itemID="{baf52aac-e229-48a3-8677-3770b5505fa5}">
  <ds:schemaRefs/>
</ds:datastoreItem>
</file>

<file path=customXml/itemProps19.xml><?xml version="1.0" encoding="utf-8"?>
<ds:datastoreItem xmlns:ds="http://schemas.openxmlformats.org/officeDocument/2006/customXml" ds:itemID="{5616ec76-282c-4d9b-ab74-5a661443ba75}">
  <ds:schemaRefs/>
</ds:datastoreItem>
</file>

<file path=customXml/itemProps2.xml><?xml version="1.0" encoding="utf-8"?>
<ds:datastoreItem xmlns:ds="http://schemas.openxmlformats.org/officeDocument/2006/customXml" ds:itemID="{ab878250-8794-4b98-a1d3-74cab385ff3c}">
  <ds:schemaRefs/>
</ds:datastoreItem>
</file>

<file path=customXml/itemProps20.xml><?xml version="1.0" encoding="utf-8"?>
<ds:datastoreItem xmlns:ds="http://schemas.openxmlformats.org/officeDocument/2006/customXml" ds:itemID="{422877e4-68bd-4617-ad30-66d168377038}">
  <ds:schemaRefs/>
</ds:datastoreItem>
</file>

<file path=customXml/itemProps21.xml><?xml version="1.0" encoding="utf-8"?>
<ds:datastoreItem xmlns:ds="http://schemas.openxmlformats.org/officeDocument/2006/customXml" ds:itemID="{907856af-d8f7-4b61-af1d-71520fededd6}">
  <ds:schemaRefs/>
</ds:datastoreItem>
</file>

<file path=customXml/itemProps22.xml><?xml version="1.0" encoding="utf-8"?>
<ds:datastoreItem xmlns:ds="http://schemas.openxmlformats.org/officeDocument/2006/customXml" ds:itemID="{d97768ae-8ae8-4669-8902-b3f4b4eee533}">
  <ds:schemaRefs/>
</ds:datastoreItem>
</file>

<file path=customXml/itemProps23.xml><?xml version="1.0" encoding="utf-8"?>
<ds:datastoreItem xmlns:ds="http://schemas.openxmlformats.org/officeDocument/2006/customXml" ds:itemID="{a21f6c8e-7419-42df-b25e-7b88c9f87d23}">
  <ds:schemaRefs/>
</ds:datastoreItem>
</file>

<file path=customXml/itemProps24.xml><?xml version="1.0" encoding="utf-8"?>
<ds:datastoreItem xmlns:ds="http://schemas.openxmlformats.org/officeDocument/2006/customXml" ds:itemID="{003d995a-1043-4754-a1c2-c9a1abcfcefa}">
  <ds:schemaRefs/>
</ds:datastoreItem>
</file>

<file path=customXml/itemProps25.xml><?xml version="1.0" encoding="utf-8"?>
<ds:datastoreItem xmlns:ds="http://schemas.openxmlformats.org/officeDocument/2006/customXml" ds:itemID="{4214304a-b3f7-4108-bbd6-4242a6692383}">
  <ds:schemaRefs/>
</ds:datastoreItem>
</file>

<file path=customXml/itemProps26.xml><?xml version="1.0" encoding="utf-8"?>
<ds:datastoreItem xmlns:ds="http://schemas.openxmlformats.org/officeDocument/2006/customXml" ds:itemID="{a2c2929a-5b01-4833-ba82-0c187695ef2c}">
  <ds:schemaRefs/>
</ds:datastoreItem>
</file>

<file path=customXml/itemProps27.xml><?xml version="1.0" encoding="utf-8"?>
<ds:datastoreItem xmlns:ds="http://schemas.openxmlformats.org/officeDocument/2006/customXml" ds:itemID="{f27f4879-ef95-497c-a2b8-c8e9b527c78c}">
  <ds:schemaRefs/>
</ds:datastoreItem>
</file>

<file path=customXml/itemProps28.xml><?xml version="1.0" encoding="utf-8"?>
<ds:datastoreItem xmlns:ds="http://schemas.openxmlformats.org/officeDocument/2006/customXml" ds:itemID="{a6443382-b407-4ca1-ba54-b54dec99ed73}">
  <ds:schemaRefs/>
</ds:datastoreItem>
</file>

<file path=customXml/itemProps29.xml><?xml version="1.0" encoding="utf-8"?>
<ds:datastoreItem xmlns:ds="http://schemas.openxmlformats.org/officeDocument/2006/customXml" ds:itemID="{3f570508-bc9e-4aae-9690-0409da8e04a7}">
  <ds:schemaRefs/>
</ds:datastoreItem>
</file>

<file path=customXml/itemProps3.xml><?xml version="1.0" encoding="utf-8"?>
<ds:datastoreItem xmlns:ds="http://schemas.openxmlformats.org/officeDocument/2006/customXml" ds:itemID="{0fb4ac1d-bc91-4ddc-8305-ea164aad1749}">
  <ds:schemaRefs/>
</ds:datastoreItem>
</file>

<file path=customXml/itemProps30.xml><?xml version="1.0" encoding="utf-8"?>
<ds:datastoreItem xmlns:ds="http://schemas.openxmlformats.org/officeDocument/2006/customXml" ds:itemID="{c7a42950-f0ef-4781-a56f-6b3168c9e291}">
  <ds:schemaRefs/>
</ds:datastoreItem>
</file>

<file path=customXml/itemProps31.xml><?xml version="1.0" encoding="utf-8"?>
<ds:datastoreItem xmlns:ds="http://schemas.openxmlformats.org/officeDocument/2006/customXml" ds:itemID="{7d3a98e8-6433-4b54-9c40-97a8f68dc1af}">
  <ds:schemaRefs/>
</ds:datastoreItem>
</file>

<file path=customXml/itemProps32.xml><?xml version="1.0" encoding="utf-8"?>
<ds:datastoreItem xmlns:ds="http://schemas.openxmlformats.org/officeDocument/2006/customXml" ds:itemID="{d61896c1-1dc9-4f99-a57a-2b3ef0b930aa}">
  <ds:schemaRefs/>
</ds:datastoreItem>
</file>

<file path=customXml/itemProps33.xml><?xml version="1.0" encoding="utf-8"?>
<ds:datastoreItem xmlns:ds="http://schemas.openxmlformats.org/officeDocument/2006/customXml" ds:itemID="{0953cb53-29c9-4aa3-a98b-36c1ddfc4178}">
  <ds:schemaRefs/>
</ds:datastoreItem>
</file>

<file path=customXml/itemProps34.xml><?xml version="1.0" encoding="utf-8"?>
<ds:datastoreItem xmlns:ds="http://schemas.openxmlformats.org/officeDocument/2006/customXml" ds:itemID="{8e1f3d5b-af08-411c-9b56-8d862b2f296c}">
  <ds:schemaRefs/>
</ds:datastoreItem>
</file>

<file path=customXml/itemProps35.xml><?xml version="1.0" encoding="utf-8"?>
<ds:datastoreItem xmlns:ds="http://schemas.openxmlformats.org/officeDocument/2006/customXml" ds:itemID="{fcc2c269-d3c3-44df-9a4e-1b44747b8da0}">
  <ds:schemaRefs/>
</ds:datastoreItem>
</file>

<file path=customXml/itemProps36.xml><?xml version="1.0" encoding="utf-8"?>
<ds:datastoreItem xmlns:ds="http://schemas.openxmlformats.org/officeDocument/2006/customXml" ds:itemID="{5763444a-dee8-4c9a-85a3-be7b6ee5a17c}">
  <ds:schemaRefs/>
</ds:datastoreItem>
</file>

<file path=customXml/itemProps37.xml><?xml version="1.0" encoding="utf-8"?>
<ds:datastoreItem xmlns:ds="http://schemas.openxmlformats.org/officeDocument/2006/customXml" ds:itemID="{b1a3ea9b-28d1-465e-86b1-1672bed427e9}">
  <ds:schemaRefs/>
</ds:datastoreItem>
</file>

<file path=customXml/itemProps38.xml><?xml version="1.0" encoding="utf-8"?>
<ds:datastoreItem xmlns:ds="http://schemas.openxmlformats.org/officeDocument/2006/customXml" ds:itemID="{92b99a4c-0045-404b-8c98-5f2f09880ae4}">
  <ds:schemaRefs/>
</ds:datastoreItem>
</file>

<file path=customXml/itemProps39.xml><?xml version="1.0" encoding="utf-8"?>
<ds:datastoreItem xmlns:ds="http://schemas.openxmlformats.org/officeDocument/2006/customXml" ds:itemID="{023f0c97-07a1-47ec-a832-40e02f153825}">
  <ds:schemaRefs/>
</ds:datastoreItem>
</file>

<file path=customXml/itemProps4.xml><?xml version="1.0" encoding="utf-8"?>
<ds:datastoreItem xmlns:ds="http://schemas.openxmlformats.org/officeDocument/2006/customXml" ds:itemID="{fcb05de5-8b48-476d-8075-284aaa1eca97}">
  <ds:schemaRefs/>
</ds:datastoreItem>
</file>

<file path=customXml/itemProps40.xml><?xml version="1.0" encoding="utf-8"?>
<ds:datastoreItem xmlns:ds="http://schemas.openxmlformats.org/officeDocument/2006/customXml" ds:itemID="{13ea4b3d-7189-470e-b733-6f4796a1b3e7}">
  <ds:schemaRefs/>
</ds:datastoreItem>
</file>

<file path=customXml/itemProps41.xml><?xml version="1.0" encoding="utf-8"?>
<ds:datastoreItem xmlns:ds="http://schemas.openxmlformats.org/officeDocument/2006/customXml" ds:itemID="{4ae18ca6-936b-4762-9cb2-f0b83816b5af}">
  <ds:schemaRefs/>
</ds:datastoreItem>
</file>

<file path=customXml/itemProps42.xml><?xml version="1.0" encoding="utf-8"?>
<ds:datastoreItem xmlns:ds="http://schemas.openxmlformats.org/officeDocument/2006/customXml" ds:itemID="{a5bf6c3b-469f-462e-a24c-9167942b9deb}">
  <ds:schemaRefs/>
</ds:datastoreItem>
</file>

<file path=customXml/itemProps43.xml><?xml version="1.0" encoding="utf-8"?>
<ds:datastoreItem xmlns:ds="http://schemas.openxmlformats.org/officeDocument/2006/customXml" ds:itemID="{cc7b43ce-c1ea-41d6-9d54-669cb8368445}">
  <ds:schemaRefs/>
</ds:datastoreItem>
</file>

<file path=customXml/itemProps44.xml><?xml version="1.0" encoding="utf-8"?>
<ds:datastoreItem xmlns:ds="http://schemas.openxmlformats.org/officeDocument/2006/customXml" ds:itemID="{4680d23d-0e11-4fcc-8880-f4dc79ad6943}">
  <ds:schemaRefs/>
</ds:datastoreItem>
</file>

<file path=customXml/itemProps45.xml><?xml version="1.0" encoding="utf-8"?>
<ds:datastoreItem xmlns:ds="http://schemas.openxmlformats.org/officeDocument/2006/customXml" ds:itemID="{62952434-c4d9-4185-9d4e-1713ac4e21b2}">
  <ds:schemaRefs/>
</ds:datastoreItem>
</file>

<file path=customXml/itemProps46.xml><?xml version="1.0" encoding="utf-8"?>
<ds:datastoreItem xmlns:ds="http://schemas.openxmlformats.org/officeDocument/2006/customXml" ds:itemID="{dc6719bd-c893-4dbb-9342-7544970ac2d4}">
  <ds:schemaRefs/>
</ds:datastoreItem>
</file>

<file path=customXml/itemProps47.xml><?xml version="1.0" encoding="utf-8"?>
<ds:datastoreItem xmlns:ds="http://schemas.openxmlformats.org/officeDocument/2006/customXml" ds:itemID="{fd66dfdf-9a87-4c26-828b-36e81fb3b204}">
  <ds:schemaRefs/>
</ds:datastoreItem>
</file>

<file path=customXml/itemProps48.xml><?xml version="1.0" encoding="utf-8"?>
<ds:datastoreItem xmlns:ds="http://schemas.openxmlformats.org/officeDocument/2006/customXml" ds:itemID="{35cb7888-1af8-4990-8675-134b01cb1ac0}">
  <ds:schemaRefs/>
</ds:datastoreItem>
</file>

<file path=customXml/itemProps49.xml><?xml version="1.0" encoding="utf-8"?>
<ds:datastoreItem xmlns:ds="http://schemas.openxmlformats.org/officeDocument/2006/customXml" ds:itemID="{aab3bb99-3e47-4e43-ab8c-f4af3003ef0b}">
  <ds:schemaRefs/>
</ds:datastoreItem>
</file>

<file path=customXml/itemProps5.xml><?xml version="1.0" encoding="utf-8"?>
<ds:datastoreItem xmlns:ds="http://schemas.openxmlformats.org/officeDocument/2006/customXml" ds:itemID="{79cd8bdd-f80c-40a8-b9a9-756bf5660043}">
  <ds:schemaRefs/>
</ds:datastoreItem>
</file>

<file path=customXml/itemProps50.xml><?xml version="1.0" encoding="utf-8"?>
<ds:datastoreItem xmlns:ds="http://schemas.openxmlformats.org/officeDocument/2006/customXml" ds:itemID="{95d9458b-b7b9-4637-a21b-1d91930500b7}">
  <ds:schemaRefs/>
</ds:datastoreItem>
</file>

<file path=customXml/itemProps51.xml><?xml version="1.0" encoding="utf-8"?>
<ds:datastoreItem xmlns:ds="http://schemas.openxmlformats.org/officeDocument/2006/customXml" ds:itemID="{4a16d8fb-801e-49ec-8da1-dd1f43a7e70d}">
  <ds:schemaRefs/>
</ds:datastoreItem>
</file>

<file path=customXml/itemProps52.xml><?xml version="1.0" encoding="utf-8"?>
<ds:datastoreItem xmlns:ds="http://schemas.openxmlformats.org/officeDocument/2006/customXml" ds:itemID="{20ab0205-b62c-40f8-959e-e1114e96c5ff}">
  <ds:schemaRefs/>
</ds:datastoreItem>
</file>

<file path=customXml/itemProps53.xml><?xml version="1.0" encoding="utf-8"?>
<ds:datastoreItem xmlns:ds="http://schemas.openxmlformats.org/officeDocument/2006/customXml" ds:itemID="{02b6fc14-f763-4468-87c3-5c72df90b766}">
  <ds:schemaRefs/>
</ds:datastoreItem>
</file>

<file path=customXml/itemProps54.xml><?xml version="1.0" encoding="utf-8"?>
<ds:datastoreItem xmlns:ds="http://schemas.openxmlformats.org/officeDocument/2006/customXml" ds:itemID="{0b1e7e6f-1f4c-44d4-a4d7-ef792c665421}">
  <ds:schemaRefs/>
</ds:datastoreItem>
</file>

<file path=customXml/itemProps55.xml><?xml version="1.0" encoding="utf-8"?>
<ds:datastoreItem xmlns:ds="http://schemas.openxmlformats.org/officeDocument/2006/customXml" ds:itemID="{b429083d-0ccf-454c-94b7-f8e71c1265c4}">
  <ds:schemaRefs/>
</ds:datastoreItem>
</file>

<file path=customXml/itemProps56.xml><?xml version="1.0" encoding="utf-8"?>
<ds:datastoreItem xmlns:ds="http://schemas.openxmlformats.org/officeDocument/2006/customXml" ds:itemID="{1256f220-0595-4c55-a165-1dab2f72ba26}">
  <ds:schemaRefs/>
</ds:datastoreItem>
</file>

<file path=customXml/itemProps57.xml><?xml version="1.0" encoding="utf-8"?>
<ds:datastoreItem xmlns:ds="http://schemas.openxmlformats.org/officeDocument/2006/customXml" ds:itemID="{689cf9a1-a41f-4813-bda3-1e2ed9a25cd0}">
  <ds:schemaRefs/>
</ds:datastoreItem>
</file>

<file path=customXml/itemProps58.xml><?xml version="1.0" encoding="utf-8"?>
<ds:datastoreItem xmlns:ds="http://schemas.openxmlformats.org/officeDocument/2006/customXml" ds:itemID="{a59905b4-ed69-43bf-8c8a-a92671cf27c2}">
  <ds:schemaRefs/>
</ds:datastoreItem>
</file>

<file path=customXml/itemProps6.xml><?xml version="1.0" encoding="utf-8"?>
<ds:datastoreItem xmlns:ds="http://schemas.openxmlformats.org/officeDocument/2006/customXml" ds:itemID="{a5a90603-acca-44ec-b141-ab1b0418d7a1}">
  <ds:schemaRefs/>
</ds:datastoreItem>
</file>

<file path=customXml/itemProps7.xml><?xml version="1.0" encoding="utf-8"?>
<ds:datastoreItem xmlns:ds="http://schemas.openxmlformats.org/officeDocument/2006/customXml" ds:itemID="{cab3796d-6410-4fd8-810b-2697f3c4b142}">
  <ds:schemaRefs/>
</ds:datastoreItem>
</file>

<file path=customXml/itemProps8.xml><?xml version="1.0" encoding="utf-8"?>
<ds:datastoreItem xmlns:ds="http://schemas.openxmlformats.org/officeDocument/2006/customXml" ds:itemID="{6c61f1da-7a0a-43c3-87ea-75e8b502161d}">
  <ds:schemaRefs/>
</ds:datastoreItem>
</file>

<file path=customXml/itemProps9.xml><?xml version="1.0" encoding="utf-8"?>
<ds:datastoreItem xmlns:ds="http://schemas.openxmlformats.org/officeDocument/2006/customXml" ds:itemID="{1ef2fa85-f683-4bad-84d3-0ed46f3f1f9c}">
  <ds:schemaRefs/>
</ds:datastoreItem>
</file>

<file path=docProps/app.xml><?xml version="1.0" encoding="utf-8"?>
<Properties xmlns="http://schemas.openxmlformats.org/officeDocument/2006/extended-properties" xmlns:vt="http://schemas.openxmlformats.org/officeDocument/2006/docPropsVTypes">
  <TotalTime>33</TotalTime>
  <ScaleCrop>false</ScaleCrop>
  <LinksUpToDate>false</LinksUpToDate>
  <Application>WPS Office_11.8.2.12055_F1E327BC-269C-435d-A152-05C5408002CA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2024-02-20T09:41:00Z</dcterms:created>
  <dc:creator>JTJ</dc:creator>
  <cp:lastModifiedBy>JTJ</cp:lastModifiedBy>
  <dcterms:modified xsi:type="dcterms:W3CDTF">2024-02-22T01:33:27Z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17453263C3664BBC8EB85E5769398157</vt:lpwstr>
  </property>
</Properties>
</file>